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64D7A" w14:textId="77777777" w:rsidR="00D961F7" w:rsidRPr="00D961F7" w:rsidRDefault="00D961F7" w:rsidP="00D961F7">
      <w:pPr>
        <w:outlineLvl w:val="0"/>
        <w:rPr>
          <w:rFonts w:ascii="Verdana" w:eastAsia="Times New Roman" w:hAnsi="Verdana" w:cs="Times New Roman"/>
          <w:color w:val="000000"/>
          <w:kern w:val="36"/>
          <w:sz w:val="48"/>
          <w:szCs w:val="48"/>
        </w:rPr>
      </w:pPr>
      <w:r w:rsidRPr="00D961F7">
        <w:rPr>
          <w:rFonts w:ascii="Verdana" w:eastAsia="Times New Roman" w:hAnsi="Verdana" w:cs="Times New Roman"/>
          <w:color w:val="000000"/>
          <w:kern w:val="36"/>
          <w:sz w:val="48"/>
          <w:szCs w:val="48"/>
        </w:rPr>
        <w:t>EMA/FDA analysis shows high degree of alignment in marketing application decisions between EU and US</w:t>
      </w:r>
    </w:p>
    <w:p w14:paraId="7B66F9BD" w14:textId="77777777" w:rsidR="00D961F7" w:rsidRPr="00D961F7" w:rsidRDefault="00D961F7" w:rsidP="00D961F7">
      <w:pPr>
        <w:rPr>
          <w:rFonts w:ascii="Times New Roman" w:eastAsia="Times New Roman" w:hAnsi="Times New Roman" w:cs="Times New Roman"/>
        </w:rPr>
      </w:pPr>
      <w:r w:rsidRPr="00D961F7">
        <w:rPr>
          <w:rFonts w:ascii="Verdana" w:eastAsia="Times New Roman" w:hAnsi="Verdana" w:cs="Times New Roman"/>
          <w:color w:val="000000"/>
        </w:rPr>
        <w:t> </w:t>
      </w:r>
    </w:p>
    <w:p w14:paraId="3887BF3F" w14:textId="77777777" w:rsidR="00D961F7" w:rsidRPr="00D961F7" w:rsidRDefault="00D961F7" w:rsidP="00D961F7">
      <w:pPr>
        <w:rPr>
          <w:rFonts w:ascii="Verdana" w:eastAsia="Times New Roman" w:hAnsi="Verdana" w:cs="Times New Roman"/>
          <w:color w:val="000000"/>
        </w:rPr>
      </w:pPr>
      <w:r w:rsidRPr="00D961F7">
        <w:rPr>
          <w:rFonts w:ascii="Verdana" w:eastAsia="Times New Roman" w:hAnsi="Verdana" w:cs="Times New Roman"/>
          <w:color w:val="000000"/>
        </w:rPr>
        <w:t>Share</w:t>
      </w:r>
    </w:p>
    <w:p w14:paraId="4AC0A9D4" w14:textId="77777777" w:rsidR="00D961F7" w:rsidRPr="00D961F7" w:rsidRDefault="00D961F7" w:rsidP="00D961F7">
      <w:pPr>
        <w:rPr>
          <w:rFonts w:ascii="Verdana" w:eastAsia="Times New Roman" w:hAnsi="Verdana" w:cs="Times New Roman"/>
          <w:color w:val="000000"/>
        </w:rPr>
      </w:pPr>
      <w:r w:rsidRPr="00D961F7">
        <w:rPr>
          <w:rFonts w:ascii="Verdana" w:eastAsia="Times New Roman" w:hAnsi="Verdana" w:cs="Times New Roman"/>
          <w:color w:val="000000"/>
        </w:rPr>
        <w:t>News 16/08/2019</w:t>
      </w:r>
    </w:p>
    <w:p w14:paraId="5C4010F7" w14:textId="176B19AA" w:rsidR="00D961F7" w:rsidRPr="00D961F7" w:rsidRDefault="00D961F7" w:rsidP="00D961F7">
      <w:pPr>
        <w:spacing w:beforeAutospacing="1" w:afterAutospacing="1"/>
        <w:rPr>
          <w:rFonts w:ascii="Verdana" w:eastAsia="Times New Roman" w:hAnsi="Verdana" w:cs="Times New Roman"/>
          <w:color w:val="000000"/>
        </w:rPr>
      </w:pPr>
      <w:r w:rsidRPr="00BF229A">
        <w:rPr>
          <w:rFonts w:ascii="Verdana" w:eastAsia="Times New Roman" w:hAnsi="Verdana" w:cs="Times New Roman"/>
          <w:color w:val="000000"/>
          <w:highlight w:val="lightGray"/>
        </w:rPr>
        <w:t>EMA and the </w:t>
      </w:r>
      <w:hyperlink r:id="rId4" w:tgtFrame="_blank" w:history="1">
        <w:r w:rsidRPr="00BF229A">
          <w:rPr>
            <w:rFonts w:ascii="Verdana" w:eastAsia="Times New Roman" w:hAnsi="Verdana" w:cs="Times New Roman"/>
            <w:color w:val="75197C"/>
            <w:highlight w:val="lightGray"/>
            <w:u w:val="single"/>
          </w:rPr>
          <w:t>US Food and Drug Administration (FDA)</w:t>
        </w:r>
      </w:hyperlink>
      <w:r w:rsidRPr="00BF229A">
        <w:rPr>
          <w:rFonts w:ascii="Verdana" w:eastAsia="Times New Roman" w:hAnsi="Verdana" w:cs="Times New Roman"/>
          <w:color w:val="000000"/>
          <w:highlight w:val="lightGray"/>
        </w:rPr>
        <w:t> are aligned in more than 90% of </w:t>
      </w:r>
      <w:hyperlink r:id="rId5" w:tgtFrame="_blank" w:tooltip="The approval to market a medicine in one, several or all European Union Member States." w:history="1">
        <w:r w:rsidRPr="00BF229A">
          <w:rPr>
            <w:rFonts w:ascii="Verdana" w:eastAsia="Times New Roman" w:hAnsi="Verdana" w:cs="Times New Roman"/>
            <w:color w:val="000000"/>
            <w:highlight w:val="lightGray"/>
            <w:u w:val="single"/>
          </w:rPr>
          <w:t xml:space="preserve">marketing </w:t>
        </w:r>
        <w:proofErr w:type="spellStart"/>
        <w:r w:rsidRPr="00BF229A">
          <w:rPr>
            <w:rFonts w:ascii="Verdana" w:eastAsia="Times New Roman" w:hAnsi="Verdana" w:cs="Times New Roman"/>
            <w:color w:val="000000"/>
            <w:highlight w:val="lightGray"/>
            <w:u w:val="single"/>
          </w:rPr>
          <w:t>authorisation</w:t>
        </w:r>
        <w:proofErr w:type="spellEnd"/>
      </w:hyperlink>
      <w:r w:rsidRPr="00BF229A">
        <w:rPr>
          <w:rFonts w:ascii="Verdana" w:eastAsia="Times New Roman" w:hAnsi="Verdana" w:cs="Times New Roman"/>
          <w:color w:val="000000"/>
          <w:highlight w:val="lightGray"/>
        </w:rPr>
        <w:t> decisions for new medicines.</w:t>
      </w:r>
      <w:r w:rsidRPr="00D961F7">
        <w:rPr>
          <w:rFonts w:ascii="Verdana" w:eastAsia="Times New Roman" w:hAnsi="Verdana" w:cs="Times New Roman"/>
          <w:color w:val="000000"/>
        </w:rPr>
        <w:t> </w:t>
      </w:r>
    </w:p>
    <w:p w14:paraId="20D7C39A" w14:textId="77777777" w:rsidR="00D961F7" w:rsidRPr="00D961F7" w:rsidRDefault="00D961F7" w:rsidP="00D961F7">
      <w:pPr>
        <w:spacing w:beforeAutospacing="1" w:afterAutospacing="1"/>
        <w:rPr>
          <w:rFonts w:ascii="Verdana" w:eastAsia="Times New Roman" w:hAnsi="Verdana" w:cs="Times New Roman"/>
          <w:color w:val="000000"/>
        </w:rPr>
      </w:pPr>
      <w:r w:rsidRPr="00D961F7">
        <w:rPr>
          <w:rFonts w:ascii="Verdana" w:eastAsia="Times New Roman" w:hAnsi="Verdana" w:cs="Times New Roman"/>
          <w:color w:val="000000"/>
        </w:rPr>
        <w:t>This is one of the findings of a </w:t>
      </w:r>
      <w:hyperlink r:id="rId6" w:tgtFrame="_blank" w:history="1">
        <w:r w:rsidRPr="00D961F7">
          <w:rPr>
            <w:rFonts w:ascii="Verdana" w:eastAsia="Times New Roman" w:hAnsi="Verdana" w:cs="Times New Roman"/>
            <w:color w:val="75197C"/>
            <w:u w:val="single"/>
          </w:rPr>
          <w:t>joint EMA/FDA analysis comparing decisions on 107 new medicine applications at the two agencies between 2014 and 2016</w:t>
        </w:r>
      </w:hyperlink>
      <w:r w:rsidRPr="00BF229A">
        <w:rPr>
          <w:rFonts w:ascii="Verdana" w:eastAsia="Times New Roman" w:hAnsi="Verdana" w:cs="Times New Roman"/>
          <w:color w:val="000000"/>
          <w:highlight w:val="darkGray"/>
        </w:rPr>
        <w:t>. The study also looked at applications for which the agencies had differing outcomes in terms of type of approval and </w:t>
      </w:r>
      <w:hyperlink r:id="rId7" w:tgtFrame="_blank" w:tooltip="A medical condition that a medicine is used for. This can include the treatment, prevention and diagnosis of a disease." w:history="1">
        <w:r w:rsidRPr="00BF229A">
          <w:rPr>
            <w:rFonts w:ascii="Verdana" w:eastAsia="Times New Roman" w:hAnsi="Verdana" w:cs="Times New Roman"/>
            <w:color w:val="000000"/>
            <w:highlight w:val="darkGray"/>
            <w:u w:val="single"/>
          </w:rPr>
          <w:t>indication</w:t>
        </w:r>
      </w:hyperlink>
      <w:r w:rsidRPr="00BF229A">
        <w:rPr>
          <w:rFonts w:ascii="Verdana" w:eastAsia="Times New Roman" w:hAnsi="Verdana" w:cs="Times New Roman"/>
          <w:color w:val="000000"/>
          <w:highlight w:val="darkGray"/>
        </w:rPr>
        <w:t>. The most common reason for diverging decisions at the two agencies were differences in conclusions about </w:t>
      </w:r>
      <w:hyperlink r:id="rId8" w:tgtFrame="_blank" w:tooltip="The measurement of a medicine's desired effect under ideal conditions, such as in a clinical trial." w:history="1">
        <w:r w:rsidRPr="00BF229A">
          <w:rPr>
            <w:rFonts w:ascii="Verdana" w:eastAsia="Times New Roman" w:hAnsi="Verdana" w:cs="Times New Roman"/>
            <w:color w:val="000000"/>
            <w:highlight w:val="darkGray"/>
            <w:u w:val="single"/>
          </w:rPr>
          <w:t>efficacy</w:t>
        </w:r>
      </w:hyperlink>
      <w:r w:rsidRPr="00BF229A">
        <w:rPr>
          <w:rFonts w:ascii="Verdana" w:eastAsia="Times New Roman" w:hAnsi="Verdana" w:cs="Times New Roman"/>
          <w:color w:val="000000"/>
          <w:highlight w:val="darkGray"/>
        </w:rPr>
        <w:t>. Differences in clinical data submitted in support of an application were the second most common root of divergent FDA and EMA decisions.</w:t>
      </w:r>
      <w:r w:rsidRPr="00D961F7">
        <w:rPr>
          <w:rFonts w:ascii="Verdana" w:eastAsia="Times New Roman" w:hAnsi="Verdana" w:cs="Times New Roman"/>
          <w:color w:val="000000"/>
        </w:rPr>
        <w:t> </w:t>
      </w:r>
    </w:p>
    <w:p w14:paraId="1077A5B1" w14:textId="77777777" w:rsidR="00D961F7" w:rsidRPr="00D961F7" w:rsidRDefault="00D961F7" w:rsidP="00D961F7">
      <w:pPr>
        <w:spacing w:beforeAutospacing="1" w:afterAutospacing="1"/>
        <w:rPr>
          <w:rFonts w:ascii="Verdana" w:eastAsia="Times New Roman" w:hAnsi="Verdana" w:cs="Times New Roman"/>
          <w:color w:val="000000"/>
        </w:rPr>
      </w:pPr>
      <w:r w:rsidRPr="00BF229A">
        <w:rPr>
          <w:rFonts w:ascii="Verdana" w:eastAsia="Times New Roman" w:hAnsi="Verdana" w:cs="Times New Roman"/>
          <w:color w:val="000000"/>
          <w:highlight w:val="lightGray"/>
        </w:rPr>
        <w:t xml:space="preserve">“The high rate of convergence in the </w:t>
      </w:r>
      <w:proofErr w:type="spellStart"/>
      <w:r w:rsidRPr="00BF229A">
        <w:rPr>
          <w:rFonts w:ascii="Verdana" w:eastAsia="Times New Roman" w:hAnsi="Verdana" w:cs="Times New Roman"/>
          <w:color w:val="000000"/>
          <w:highlight w:val="lightGray"/>
        </w:rPr>
        <w:t>authorisation</w:t>
      </w:r>
      <w:proofErr w:type="spellEnd"/>
      <w:r w:rsidRPr="00BF229A">
        <w:rPr>
          <w:rFonts w:ascii="Verdana" w:eastAsia="Times New Roman" w:hAnsi="Verdana" w:cs="Times New Roman"/>
          <w:color w:val="000000"/>
          <w:highlight w:val="lightGray"/>
        </w:rPr>
        <w:t xml:space="preserve"> of new medicines at EMA and the FDA is the result of expanded investment in dialogue and cooperation since 2003 and has fostered alignment between the EU and the US with respect to decisions on </w:t>
      </w:r>
      <w:hyperlink r:id="rId9" w:tgtFrame="_blank" w:tooltip="The approval to market a medicine in one, several or all European Union Member States." w:history="1">
        <w:r w:rsidRPr="00BF229A">
          <w:rPr>
            <w:rFonts w:ascii="Verdana" w:eastAsia="Times New Roman" w:hAnsi="Verdana" w:cs="Times New Roman"/>
            <w:color w:val="000000"/>
            <w:highlight w:val="lightGray"/>
            <w:u w:val="single"/>
          </w:rPr>
          <w:t xml:space="preserve">marketing </w:t>
        </w:r>
        <w:proofErr w:type="spellStart"/>
        <w:r w:rsidRPr="00BF229A">
          <w:rPr>
            <w:rFonts w:ascii="Verdana" w:eastAsia="Times New Roman" w:hAnsi="Verdana" w:cs="Times New Roman"/>
            <w:color w:val="000000"/>
            <w:highlight w:val="lightGray"/>
            <w:u w:val="single"/>
          </w:rPr>
          <w:t>authorisations</w:t>
        </w:r>
        <w:proofErr w:type="spellEnd"/>
      </w:hyperlink>
      <w:r w:rsidRPr="00BF229A">
        <w:rPr>
          <w:rFonts w:ascii="Verdana" w:eastAsia="Times New Roman" w:hAnsi="Verdana" w:cs="Times New Roman"/>
          <w:color w:val="000000"/>
          <w:highlight w:val="lightGray"/>
        </w:rPr>
        <w:t xml:space="preserve">, while both agencies evaluate applications independently of each other,” said </w:t>
      </w:r>
      <w:proofErr w:type="spellStart"/>
      <w:r w:rsidRPr="00BF229A">
        <w:rPr>
          <w:rFonts w:ascii="Verdana" w:eastAsia="Times New Roman" w:hAnsi="Verdana" w:cs="Times New Roman"/>
          <w:color w:val="000000"/>
          <w:highlight w:val="lightGray"/>
        </w:rPr>
        <w:t>Zaide</w:t>
      </w:r>
      <w:proofErr w:type="spellEnd"/>
      <w:r w:rsidRPr="00BF229A">
        <w:rPr>
          <w:rFonts w:ascii="Verdana" w:eastAsia="Times New Roman" w:hAnsi="Verdana" w:cs="Times New Roman"/>
          <w:color w:val="000000"/>
          <w:highlight w:val="lightGray"/>
        </w:rPr>
        <w:t xml:space="preserve"> Frias, head of EMA’s </w:t>
      </w:r>
      <w:hyperlink r:id="rId10" w:tgtFrame="_self" w:history="1">
        <w:r w:rsidRPr="00BF229A">
          <w:rPr>
            <w:rFonts w:ascii="Verdana" w:eastAsia="Times New Roman" w:hAnsi="Verdana" w:cs="Times New Roman"/>
            <w:color w:val="75197C"/>
            <w:highlight w:val="lightGray"/>
            <w:u w:val="single"/>
          </w:rPr>
          <w:t>human medicines evaluation division</w:t>
        </w:r>
      </w:hyperlink>
      <w:r w:rsidRPr="00BF229A">
        <w:rPr>
          <w:rFonts w:ascii="Verdana" w:eastAsia="Times New Roman" w:hAnsi="Verdana" w:cs="Times New Roman"/>
          <w:color w:val="000000"/>
          <w:highlight w:val="lightGray"/>
        </w:rPr>
        <w:t xml:space="preserve">. </w:t>
      </w:r>
      <w:proofErr w:type="gramStart"/>
      <w:r w:rsidRPr="00BF229A">
        <w:rPr>
          <w:rFonts w:ascii="Verdana" w:eastAsia="Times New Roman" w:hAnsi="Verdana" w:cs="Times New Roman"/>
          <w:color w:val="000000"/>
          <w:highlight w:val="lightGray"/>
        </w:rPr>
        <w:t>”Our</w:t>
      </w:r>
      <w:proofErr w:type="gramEnd"/>
      <w:r w:rsidRPr="00BF229A">
        <w:rPr>
          <w:rFonts w:ascii="Verdana" w:eastAsia="Times New Roman" w:hAnsi="Verdana" w:cs="Times New Roman"/>
          <w:color w:val="000000"/>
          <w:highlight w:val="lightGray"/>
        </w:rPr>
        <w:t xml:space="preserve"> cooperation clearly supports both agencies in achieving a common goal of </w:t>
      </w:r>
      <w:proofErr w:type="spellStart"/>
      <w:r w:rsidRPr="00BF229A">
        <w:rPr>
          <w:rFonts w:ascii="Verdana" w:eastAsia="Times New Roman" w:hAnsi="Verdana" w:cs="Times New Roman"/>
          <w:color w:val="000000"/>
          <w:highlight w:val="lightGray"/>
        </w:rPr>
        <w:t>maximising</w:t>
      </w:r>
      <w:proofErr w:type="spellEnd"/>
      <w:r w:rsidRPr="00BF229A">
        <w:rPr>
          <w:rFonts w:ascii="Verdana" w:eastAsia="Times New Roman" w:hAnsi="Verdana" w:cs="Times New Roman"/>
          <w:color w:val="000000"/>
          <w:highlight w:val="lightGray"/>
        </w:rPr>
        <w:t xml:space="preserve"> patient access to safe, effective and high quality medicines in both regions,” she added.</w:t>
      </w:r>
    </w:p>
    <w:p w14:paraId="591C3A5C" w14:textId="77777777" w:rsidR="00D961F7" w:rsidRPr="00D961F7" w:rsidRDefault="00D961F7" w:rsidP="00D961F7">
      <w:pPr>
        <w:spacing w:beforeAutospacing="1" w:afterAutospacing="1"/>
        <w:rPr>
          <w:rFonts w:ascii="Verdana" w:eastAsia="Times New Roman" w:hAnsi="Verdana" w:cs="Times New Roman"/>
          <w:color w:val="000000"/>
        </w:rPr>
      </w:pPr>
      <w:r w:rsidRPr="00D961F7">
        <w:rPr>
          <w:rFonts w:ascii="Verdana" w:eastAsia="Times New Roman" w:hAnsi="Verdana" w:cs="Times New Roman"/>
          <w:color w:val="000000"/>
        </w:rPr>
        <w:t>This is the first analysis by EMA and the FDA that compares the agencies’ decisions related to </w:t>
      </w:r>
      <w:hyperlink r:id="rId11" w:tgtFrame="_blank" w:tooltip="The approval to market a medicine in one, several or all European Union Member States." w:history="1">
        <w:r w:rsidRPr="00D961F7">
          <w:rPr>
            <w:rFonts w:ascii="Verdana" w:eastAsia="Times New Roman" w:hAnsi="Verdana" w:cs="Times New Roman"/>
            <w:color w:val="000000"/>
            <w:u w:val="single"/>
          </w:rPr>
          <w:t xml:space="preserve">marketing </w:t>
        </w:r>
        <w:proofErr w:type="spellStart"/>
        <w:r w:rsidRPr="00D961F7">
          <w:rPr>
            <w:rFonts w:ascii="Verdana" w:eastAsia="Times New Roman" w:hAnsi="Verdana" w:cs="Times New Roman"/>
            <w:color w:val="000000"/>
            <w:u w:val="single"/>
          </w:rPr>
          <w:t>authorisations</w:t>
        </w:r>
        <w:proofErr w:type="spellEnd"/>
      </w:hyperlink>
      <w:r w:rsidRPr="00D961F7">
        <w:rPr>
          <w:rFonts w:ascii="Verdana" w:eastAsia="Times New Roman" w:hAnsi="Verdana" w:cs="Times New Roman"/>
          <w:color w:val="000000"/>
        </w:rPr>
        <w:t>. </w:t>
      </w:r>
    </w:p>
    <w:p w14:paraId="2AF7CB11" w14:textId="77777777" w:rsidR="00D961F7" w:rsidRPr="00D961F7" w:rsidRDefault="00D961F7" w:rsidP="00D961F7">
      <w:pPr>
        <w:spacing w:beforeAutospacing="1" w:afterAutospacing="1"/>
        <w:rPr>
          <w:rFonts w:ascii="Verdana" w:eastAsia="Times New Roman" w:hAnsi="Verdana" w:cs="Times New Roman"/>
          <w:color w:val="000000"/>
        </w:rPr>
      </w:pPr>
      <w:r w:rsidRPr="00BF229A">
        <w:rPr>
          <w:rFonts w:ascii="Verdana" w:eastAsia="Times New Roman" w:hAnsi="Verdana" w:cs="Times New Roman"/>
          <w:color w:val="000000"/>
          <w:highlight w:val="darkGray"/>
        </w:rPr>
        <w:t>Some differences were observed in the clinical data due to the difference in timing of submissions (more applications were submitted to the FDA before they were submitted to EMA). Compared to the FDA, EMA often reviewed applications including additional </w:t>
      </w:r>
      <w:hyperlink r:id="rId12" w:tgtFrame="_blank" w:tooltip="A study performed to investigate the safety or efficacy of a medicine. For human medicines, these studies are carried out in human volunteers." w:history="1">
        <w:r w:rsidRPr="00BF229A">
          <w:rPr>
            <w:rFonts w:ascii="Verdana" w:eastAsia="Times New Roman" w:hAnsi="Verdana" w:cs="Times New Roman"/>
            <w:color w:val="000000"/>
            <w:highlight w:val="darkGray"/>
            <w:u w:val="single"/>
          </w:rPr>
          <w:t>clinical trials</w:t>
        </w:r>
      </w:hyperlink>
      <w:r w:rsidRPr="00BF229A">
        <w:rPr>
          <w:rFonts w:ascii="Verdana" w:eastAsia="Times New Roman" w:hAnsi="Verdana" w:cs="Times New Roman"/>
          <w:color w:val="000000"/>
          <w:highlight w:val="darkGray"/>
        </w:rPr>
        <w:t> or, particularly for oncology medicines, more mature data from the same </w:t>
      </w:r>
      <w:hyperlink r:id="rId13" w:tgtFrame="_blank" w:tooltip="A study performed to investigate the safety or efficacy of a medicine. For human medicines, these studies are carried out in human volunteers." w:history="1">
        <w:r w:rsidRPr="00BF229A">
          <w:rPr>
            <w:rFonts w:ascii="Verdana" w:eastAsia="Times New Roman" w:hAnsi="Verdana" w:cs="Times New Roman"/>
            <w:color w:val="000000"/>
            <w:highlight w:val="darkGray"/>
            <w:u w:val="single"/>
          </w:rPr>
          <w:t>clinical trial</w:t>
        </w:r>
      </w:hyperlink>
      <w:r w:rsidRPr="00BF229A">
        <w:rPr>
          <w:rFonts w:ascii="Verdana" w:eastAsia="Times New Roman" w:hAnsi="Verdana" w:cs="Times New Roman"/>
          <w:color w:val="000000"/>
          <w:highlight w:val="darkGray"/>
        </w:rPr>
        <w:t>. In those instances, EMA was more likely than the FDA to grant standard approval, a broader </w:t>
      </w:r>
      <w:hyperlink r:id="rId14" w:tgtFrame="_blank" w:tooltip="A medical condition that a medicine is used for. This can include the treatment, prevention and diagnosis of a disease." w:history="1">
        <w:r w:rsidRPr="00BF229A">
          <w:rPr>
            <w:rFonts w:ascii="Verdana" w:eastAsia="Times New Roman" w:hAnsi="Verdana" w:cs="Times New Roman"/>
            <w:color w:val="000000"/>
            <w:highlight w:val="darkGray"/>
            <w:u w:val="single"/>
          </w:rPr>
          <w:t>indication</w:t>
        </w:r>
      </w:hyperlink>
      <w:r w:rsidRPr="00BF229A">
        <w:rPr>
          <w:rFonts w:ascii="Verdana" w:eastAsia="Times New Roman" w:hAnsi="Verdana" w:cs="Times New Roman"/>
          <w:color w:val="000000"/>
          <w:highlight w:val="darkGray"/>
        </w:rPr>
        <w:t>, or use of a medicine as first-line therapy</w:t>
      </w:r>
      <w:r w:rsidRPr="00D961F7">
        <w:rPr>
          <w:rFonts w:ascii="Verdana" w:eastAsia="Times New Roman" w:hAnsi="Verdana" w:cs="Times New Roman"/>
          <w:color w:val="000000"/>
        </w:rPr>
        <w:t>.</w:t>
      </w:r>
    </w:p>
    <w:p w14:paraId="7F361760" w14:textId="77777777" w:rsidR="00D961F7" w:rsidRPr="00BF229A" w:rsidRDefault="00D961F7" w:rsidP="00D961F7">
      <w:pPr>
        <w:spacing w:beforeAutospacing="1" w:afterAutospacing="1"/>
        <w:rPr>
          <w:rFonts w:ascii="Verdana" w:eastAsia="Times New Roman" w:hAnsi="Verdana" w:cs="Times New Roman"/>
          <w:color w:val="000000"/>
          <w:highlight w:val="lightGray"/>
        </w:rPr>
      </w:pPr>
      <w:r w:rsidRPr="00BF229A">
        <w:rPr>
          <w:rFonts w:ascii="Verdana" w:eastAsia="Times New Roman" w:hAnsi="Verdana" w:cs="Times New Roman"/>
          <w:color w:val="000000"/>
          <w:highlight w:val="lightGray"/>
        </w:rPr>
        <w:lastRenderedPageBreak/>
        <w:t>Over the past decade, EMA and the FDA have established joint working groups and several forums for information sharing and collaboration around many aspects of medicine development and regulation, including ‘</w:t>
      </w:r>
      <w:hyperlink r:id="rId15" w:tgtFrame="_self" w:history="1">
        <w:r w:rsidRPr="00BF229A">
          <w:rPr>
            <w:rFonts w:ascii="Verdana" w:eastAsia="Times New Roman" w:hAnsi="Verdana" w:cs="Times New Roman"/>
            <w:color w:val="75197C"/>
            <w:highlight w:val="lightGray"/>
            <w:u w:val="single"/>
          </w:rPr>
          <w:t>clusters</w:t>
        </w:r>
      </w:hyperlink>
      <w:r w:rsidRPr="00BF229A">
        <w:rPr>
          <w:rFonts w:ascii="Verdana" w:eastAsia="Times New Roman" w:hAnsi="Verdana" w:cs="Times New Roman"/>
          <w:color w:val="000000"/>
          <w:highlight w:val="lightGray"/>
        </w:rPr>
        <w:t>’ on special topics and therapeutic areas, as well as parallel </w:t>
      </w:r>
      <w:hyperlink r:id="rId16" w:tgtFrame="_self" w:history="1">
        <w:r w:rsidRPr="00BF229A">
          <w:rPr>
            <w:rFonts w:ascii="Verdana" w:eastAsia="Times New Roman" w:hAnsi="Verdana" w:cs="Times New Roman"/>
            <w:color w:val="75197C"/>
            <w:highlight w:val="lightGray"/>
            <w:u w:val="single"/>
          </w:rPr>
          <w:t>scientific advice and protocol assistance</w:t>
        </w:r>
      </w:hyperlink>
      <w:r w:rsidRPr="00BF229A">
        <w:rPr>
          <w:rFonts w:ascii="Verdana" w:eastAsia="Times New Roman" w:hAnsi="Verdana" w:cs="Times New Roman"/>
          <w:color w:val="000000"/>
          <w:highlight w:val="lightGray"/>
        </w:rPr>
        <w:t>. These groups bring together experts for example on plans for manufacturing or clinical site inspections, development of medicines for children, oncology products, biostatistics, rare diseases and vaccines. While these groups are not forums for shared decision-making, the strong alignment in decisions on </w:t>
      </w:r>
      <w:hyperlink r:id="rId17" w:tgtFrame="_blank" w:tooltip="The approval to market a medicine in one, several or all European Union Member States." w:history="1">
        <w:r w:rsidRPr="00BF229A">
          <w:rPr>
            <w:rFonts w:ascii="Verdana" w:eastAsia="Times New Roman" w:hAnsi="Verdana" w:cs="Times New Roman"/>
            <w:color w:val="000000"/>
            <w:highlight w:val="lightGray"/>
            <w:u w:val="single"/>
          </w:rPr>
          <w:t xml:space="preserve">marketing </w:t>
        </w:r>
        <w:proofErr w:type="spellStart"/>
        <w:r w:rsidRPr="00BF229A">
          <w:rPr>
            <w:rFonts w:ascii="Verdana" w:eastAsia="Times New Roman" w:hAnsi="Verdana" w:cs="Times New Roman"/>
            <w:color w:val="000000"/>
            <w:highlight w:val="lightGray"/>
            <w:u w:val="single"/>
          </w:rPr>
          <w:t>authorisations</w:t>
        </w:r>
        <w:proofErr w:type="spellEnd"/>
      </w:hyperlink>
      <w:r w:rsidRPr="00BF229A">
        <w:rPr>
          <w:rFonts w:ascii="Verdana" w:eastAsia="Times New Roman" w:hAnsi="Verdana" w:cs="Times New Roman"/>
          <w:color w:val="000000"/>
          <w:highlight w:val="lightGray"/>
        </w:rPr>
        <w:t> suggests that they may be contributing to alignment on regulatory science.</w:t>
      </w:r>
    </w:p>
    <w:p w14:paraId="592BB3A9" w14:textId="77777777" w:rsidR="00D961F7" w:rsidRPr="00D961F7" w:rsidRDefault="00D961F7" w:rsidP="00D961F7">
      <w:pPr>
        <w:spacing w:beforeAutospacing="1" w:afterAutospacing="1"/>
        <w:rPr>
          <w:rFonts w:ascii="Verdana" w:eastAsia="Times New Roman" w:hAnsi="Verdana" w:cs="Times New Roman"/>
          <w:color w:val="000000"/>
        </w:rPr>
      </w:pPr>
      <w:r w:rsidRPr="00BF229A">
        <w:rPr>
          <w:rFonts w:ascii="Verdana" w:eastAsia="Times New Roman" w:hAnsi="Verdana" w:cs="Times New Roman"/>
          <w:color w:val="000000"/>
          <w:highlight w:val="lightGray"/>
        </w:rPr>
        <w:t>Most of the information used for the study was sourced from EMA’s publicly available </w:t>
      </w:r>
      <w:hyperlink r:id="rId18" w:tgtFrame="_blank" w:tooltip="A set of documents describing the evaluation of a medicine authorised via the centralised procedure and including the product information, published on the European Medicines Agency website. European public assessment reports include the product information. Abbreviated as EPAR. &#13; &#13; More information can be found under 'European public assessment reports -  background and context'. " w:history="1">
        <w:r w:rsidRPr="00BF229A">
          <w:rPr>
            <w:rFonts w:ascii="Verdana" w:eastAsia="Times New Roman" w:hAnsi="Verdana" w:cs="Times New Roman"/>
            <w:color w:val="000000"/>
            <w:highlight w:val="lightGray"/>
            <w:u w:val="single"/>
          </w:rPr>
          <w:t>European Public Assessment Reports</w:t>
        </w:r>
      </w:hyperlink>
      <w:r w:rsidRPr="00BF229A">
        <w:rPr>
          <w:rFonts w:ascii="Verdana" w:eastAsia="Times New Roman" w:hAnsi="Verdana" w:cs="Times New Roman"/>
          <w:color w:val="000000"/>
          <w:highlight w:val="lightGray"/>
        </w:rPr>
        <w:t> (EPARs) and FDA reviews, which contain the agencies’ rationale for their decisions on applications</w:t>
      </w:r>
      <w:bookmarkStart w:id="0" w:name="_GoBack"/>
      <w:bookmarkEnd w:id="0"/>
      <w:r w:rsidRPr="00D961F7">
        <w:rPr>
          <w:rFonts w:ascii="Verdana" w:eastAsia="Times New Roman" w:hAnsi="Verdana" w:cs="Times New Roman"/>
          <w:color w:val="000000"/>
        </w:rPr>
        <w:t>. </w:t>
      </w:r>
    </w:p>
    <w:p w14:paraId="7C9848E9" w14:textId="77777777" w:rsidR="00D961F7" w:rsidRPr="00D961F7" w:rsidRDefault="00D961F7" w:rsidP="00D961F7">
      <w:pPr>
        <w:spacing w:beforeAutospacing="1" w:afterAutospacing="1"/>
        <w:rPr>
          <w:rFonts w:ascii="Verdana" w:eastAsia="Times New Roman" w:hAnsi="Verdana" w:cs="Times New Roman"/>
          <w:color w:val="000000"/>
        </w:rPr>
      </w:pPr>
      <w:r w:rsidRPr="00D961F7">
        <w:rPr>
          <w:rFonts w:ascii="Verdana" w:eastAsia="Times New Roman" w:hAnsi="Verdana" w:cs="Times New Roman"/>
          <w:color w:val="000000"/>
        </w:rPr>
        <w:t>The article, entitled “</w:t>
      </w:r>
      <w:hyperlink r:id="rId19" w:tgtFrame="_blank" w:history="1">
        <w:r w:rsidRPr="00D961F7">
          <w:rPr>
            <w:rFonts w:ascii="Verdana" w:eastAsia="Times New Roman" w:hAnsi="Verdana" w:cs="Times New Roman"/>
            <w:color w:val="75197C"/>
            <w:u w:val="single"/>
          </w:rPr>
          <w:t>A comparison of EMA and FDA decisions for new drug marketing applications 2014-2016: concordance, discordance and why</w:t>
        </w:r>
      </w:hyperlink>
      <w:r w:rsidRPr="00D961F7">
        <w:rPr>
          <w:rFonts w:ascii="Verdana" w:eastAsia="Times New Roman" w:hAnsi="Verdana" w:cs="Times New Roman"/>
          <w:color w:val="000000"/>
        </w:rPr>
        <w:t>”, is available through open access in Clinical Pharmacology and Therapeutics.</w:t>
      </w:r>
    </w:p>
    <w:p w14:paraId="141AE32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21"/>
    <w:rsid w:val="00453EED"/>
    <w:rsid w:val="00696533"/>
    <w:rsid w:val="007D3B21"/>
    <w:rsid w:val="00AD4AE6"/>
    <w:rsid w:val="00BE080D"/>
    <w:rsid w:val="00BF229A"/>
    <w:rsid w:val="00D9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B568E7"/>
  <w14:defaultImageDpi w14:val="32767"/>
  <w15:chartTrackingRefBased/>
  <w15:docId w15:val="{0C861863-D23A-B041-88B8-B9BEEE5AA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961F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1F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961F7"/>
  </w:style>
  <w:style w:type="character" w:customStyle="1" w:styleId="date-display-single">
    <w:name w:val="date-display-single"/>
    <w:basedOn w:val="DefaultParagraphFont"/>
    <w:rsid w:val="00D961F7"/>
  </w:style>
  <w:style w:type="paragraph" w:styleId="NormalWeb">
    <w:name w:val="Normal (Web)"/>
    <w:basedOn w:val="Normal"/>
    <w:uiPriority w:val="99"/>
    <w:semiHidden/>
    <w:unhideWhenUsed/>
    <w:rsid w:val="00D961F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961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99728">
      <w:bodyDiv w:val="1"/>
      <w:marLeft w:val="0"/>
      <w:marRight w:val="0"/>
      <w:marTop w:val="0"/>
      <w:marBottom w:val="0"/>
      <w:divBdr>
        <w:top w:val="none" w:sz="0" w:space="0" w:color="auto"/>
        <w:left w:val="none" w:sz="0" w:space="0" w:color="auto"/>
        <w:bottom w:val="none" w:sz="0" w:space="0" w:color="auto"/>
        <w:right w:val="none" w:sz="0" w:space="0" w:color="auto"/>
      </w:divBdr>
      <w:divsChild>
        <w:div w:id="307130766">
          <w:marLeft w:val="0"/>
          <w:marRight w:val="0"/>
          <w:marTop w:val="0"/>
          <w:marBottom w:val="0"/>
          <w:divBdr>
            <w:top w:val="none" w:sz="0" w:space="0" w:color="auto"/>
            <w:left w:val="none" w:sz="0" w:space="0" w:color="auto"/>
            <w:bottom w:val="none" w:sz="0" w:space="0" w:color="auto"/>
            <w:right w:val="none" w:sz="0" w:space="0" w:color="auto"/>
          </w:divBdr>
          <w:divsChild>
            <w:div w:id="592015682">
              <w:marLeft w:val="0"/>
              <w:marRight w:val="0"/>
              <w:marTop w:val="0"/>
              <w:marBottom w:val="0"/>
              <w:divBdr>
                <w:top w:val="none" w:sz="0" w:space="0" w:color="auto"/>
                <w:left w:val="none" w:sz="0" w:space="0" w:color="auto"/>
                <w:bottom w:val="none" w:sz="0" w:space="0" w:color="auto"/>
                <w:right w:val="none" w:sz="0" w:space="0" w:color="auto"/>
              </w:divBdr>
            </w:div>
          </w:divsChild>
        </w:div>
        <w:div w:id="238105218">
          <w:marLeft w:val="0"/>
          <w:marRight w:val="0"/>
          <w:marTop w:val="0"/>
          <w:marBottom w:val="0"/>
          <w:divBdr>
            <w:top w:val="none" w:sz="0" w:space="0" w:color="auto"/>
            <w:left w:val="none" w:sz="0" w:space="0" w:color="auto"/>
            <w:bottom w:val="none" w:sz="0" w:space="0" w:color="auto"/>
            <w:right w:val="none" w:sz="0" w:space="0" w:color="auto"/>
          </w:divBdr>
        </w:div>
        <w:div w:id="836843902">
          <w:marLeft w:val="0"/>
          <w:marRight w:val="0"/>
          <w:marTop w:val="0"/>
          <w:marBottom w:val="0"/>
          <w:divBdr>
            <w:top w:val="none" w:sz="0" w:space="0" w:color="auto"/>
            <w:left w:val="none" w:sz="0" w:space="0" w:color="auto"/>
            <w:bottom w:val="none" w:sz="0" w:space="0" w:color="auto"/>
            <w:right w:val="none" w:sz="0" w:space="0" w:color="auto"/>
          </w:divBdr>
          <w:divsChild>
            <w:div w:id="1809128161">
              <w:marLeft w:val="0"/>
              <w:marRight w:val="0"/>
              <w:marTop w:val="0"/>
              <w:marBottom w:val="0"/>
              <w:divBdr>
                <w:top w:val="none" w:sz="0" w:space="0" w:color="auto"/>
                <w:left w:val="none" w:sz="0" w:space="0" w:color="auto"/>
                <w:bottom w:val="none" w:sz="0" w:space="0" w:color="auto"/>
                <w:right w:val="none" w:sz="0" w:space="0" w:color="auto"/>
              </w:divBdr>
              <w:divsChild>
                <w:div w:id="1251506294">
                  <w:marLeft w:val="0"/>
                  <w:marRight w:val="0"/>
                  <w:marTop w:val="0"/>
                  <w:marBottom w:val="0"/>
                  <w:divBdr>
                    <w:top w:val="none" w:sz="0" w:space="0" w:color="auto"/>
                    <w:left w:val="none" w:sz="0" w:space="0" w:color="auto"/>
                    <w:bottom w:val="none" w:sz="0" w:space="0" w:color="auto"/>
                    <w:right w:val="none" w:sz="0" w:space="0" w:color="auto"/>
                  </w:divBdr>
                  <w:divsChild>
                    <w:div w:id="154760155">
                      <w:marLeft w:val="0"/>
                      <w:marRight w:val="0"/>
                      <w:marTop w:val="0"/>
                      <w:marBottom w:val="0"/>
                      <w:divBdr>
                        <w:top w:val="none" w:sz="0" w:space="0" w:color="auto"/>
                        <w:left w:val="none" w:sz="0" w:space="0" w:color="auto"/>
                        <w:bottom w:val="none" w:sz="0" w:space="0" w:color="auto"/>
                        <w:right w:val="none" w:sz="0" w:space="0" w:color="auto"/>
                      </w:divBdr>
                      <w:divsChild>
                        <w:div w:id="2143840757">
                          <w:marLeft w:val="0"/>
                          <w:marRight w:val="0"/>
                          <w:marTop w:val="0"/>
                          <w:marBottom w:val="0"/>
                          <w:divBdr>
                            <w:top w:val="none" w:sz="0" w:space="0" w:color="auto"/>
                            <w:left w:val="none" w:sz="0" w:space="0" w:color="auto"/>
                            <w:bottom w:val="none" w:sz="0" w:space="0" w:color="auto"/>
                            <w:right w:val="none" w:sz="0" w:space="0" w:color="auto"/>
                          </w:divBdr>
                          <w:divsChild>
                            <w:div w:id="1764496499">
                              <w:marLeft w:val="0"/>
                              <w:marRight w:val="0"/>
                              <w:marTop w:val="0"/>
                              <w:marBottom w:val="0"/>
                              <w:divBdr>
                                <w:top w:val="none" w:sz="0" w:space="0" w:color="auto"/>
                                <w:left w:val="none" w:sz="0" w:space="0" w:color="auto"/>
                                <w:bottom w:val="none" w:sz="0" w:space="0" w:color="auto"/>
                                <w:right w:val="none" w:sz="0" w:space="0" w:color="auto"/>
                              </w:divBdr>
                              <w:divsChild>
                                <w:div w:id="353118781">
                                  <w:marLeft w:val="0"/>
                                  <w:marRight w:val="0"/>
                                  <w:marTop w:val="0"/>
                                  <w:marBottom w:val="0"/>
                                  <w:divBdr>
                                    <w:top w:val="none" w:sz="0" w:space="0" w:color="auto"/>
                                    <w:left w:val="none" w:sz="0" w:space="0" w:color="auto"/>
                                    <w:bottom w:val="none" w:sz="0" w:space="0" w:color="auto"/>
                                    <w:right w:val="none" w:sz="0" w:space="0" w:color="auto"/>
                                  </w:divBdr>
                                  <w:divsChild>
                                    <w:div w:id="8395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glossary/efficacy" TargetMode="External"/><Relationship Id="rId13" Type="http://schemas.openxmlformats.org/officeDocument/2006/relationships/hyperlink" Target="https://www.ema.europa.eu/en/glossary/clinical-trial" TargetMode="External"/><Relationship Id="rId18" Type="http://schemas.openxmlformats.org/officeDocument/2006/relationships/hyperlink" Target="https://www.ema.europa.eu/en/glossary/european-public-assessment-repor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ema.europa.eu/en/glossary/indication" TargetMode="External"/><Relationship Id="rId12" Type="http://schemas.openxmlformats.org/officeDocument/2006/relationships/hyperlink" Target="https://www.ema.europa.eu/en/glossary/clinical-trial" TargetMode="External"/><Relationship Id="rId17" Type="http://schemas.openxmlformats.org/officeDocument/2006/relationships/hyperlink" Target="https://www.ema.europa.eu/en/glossary/marketing-authorisation" TargetMode="External"/><Relationship Id="rId2" Type="http://schemas.openxmlformats.org/officeDocument/2006/relationships/settings" Target="settings.xml"/><Relationship Id="rId16" Type="http://schemas.openxmlformats.org/officeDocument/2006/relationships/hyperlink" Target="https://www.ema.europa.eu/en/human-regulatory/research-development/scientific-advice-protocol-assistanc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scpt.onlinelibrary.wiley.com/doi/10.1002/cpt.1565" TargetMode="External"/><Relationship Id="rId11" Type="http://schemas.openxmlformats.org/officeDocument/2006/relationships/hyperlink" Target="https://www.ema.europa.eu/en/glossary/marketing-authorisation" TargetMode="External"/><Relationship Id="rId5" Type="http://schemas.openxmlformats.org/officeDocument/2006/relationships/hyperlink" Target="https://www.ema.europa.eu/en/glossary/marketing-authorisation" TargetMode="External"/><Relationship Id="rId15" Type="http://schemas.openxmlformats.org/officeDocument/2006/relationships/hyperlink" Target="https://www.ema.europa.eu/en/partners-networks/international-activities/cluster-activities" TargetMode="External"/><Relationship Id="rId10" Type="http://schemas.openxmlformats.org/officeDocument/2006/relationships/hyperlink" Target="https://www.ema.europa.eu/en/about-us/who-we-are/human-medicines-evaluation" TargetMode="External"/><Relationship Id="rId19" Type="http://schemas.openxmlformats.org/officeDocument/2006/relationships/hyperlink" Target="https://ascpt.onlinelibrary.wiley.com/doi/10.1002/cpt.1565" TargetMode="External"/><Relationship Id="rId4" Type="http://schemas.openxmlformats.org/officeDocument/2006/relationships/hyperlink" Target="https://www.fda.gov/" TargetMode="External"/><Relationship Id="rId9" Type="http://schemas.openxmlformats.org/officeDocument/2006/relationships/hyperlink" Target="https://www.ema.europa.eu/en/glossary/marketing-authorisation" TargetMode="External"/><Relationship Id="rId14" Type="http://schemas.openxmlformats.org/officeDocument/2006/relationships/hyperlink" Target="https://www.ema.europa.eu/en/glossary/ind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898</Words>
  <Characters>5119</Characters>
  <Application>Microsoft Office Word</Application>
  <DocSecurity>0</DocSecurity>
  <Lines>42</Lines>
  <Paragraphs>12</Paragraphs>
  <ScaleCrop>false</ScaleCrop>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2020-02-18T11:01:00Z</dcterms:created>
  <dcterms:modified xsi:type="dcterms:W3CDTF">2020-05-11T11:27:00Z</dcterms:modified>
</cp:coreProperties>
</file>