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FC5C9" w14:textId="77777777" w:rsidR="007C7F01" w:rsidRPr="007C7F01" w:rsidRDefault="007C7F01" w:rsidP="007C7F01">
      <w:pPr>
        <w:outlineLvl w:val="0"/>
        <w:rPr>
          <w:rFonts w:ascii="Verdana" w:eastAsia="Times New Roman" w:hAnsi="Verdana" w:cs="Times New Roman"/>
          <w:color w:val="000000"/>
          <w:kern w:val="36"/>
          <w:sz w:val="48"/>
          <w:szCs w:val="48"/>
        </w:rPr>
      </w:pPr>
      <w:r w:rsidRPr="007C7F01">
        <w:rPr>
          <w:rFonts w:ascii="Verdana" w:eastAsia="Times New Roman" w:hAnsi="Verdana" w:cs="Times New Roman"/>
          <w:color w:val="000000"/>
          <w:kern w:val="36"/>
          <w:sz w:val="48"/>
          <w:szCs w:val="48"/>
        </w:rPr>
        <w:t>Meeting highlights from the Committee for Medicinal Products for Human Use (CHMP) 22-25 July 2019</w:t>
      </w:r>
    </w:p>
    <w:p w14:paraId="6E737DCB" w14:textId="77777777" w:rsidR="007C7F01" w:rsidRPr="007C7F01" w:rsidRDefault="007C7F01" w:rsidP="007C7F01">
      <w:pPr>
        <w:rPr>
          <w:rFonts w:ascii="Times New Roman" w:eastAsia="Times New Roman" w:hAnsi="Times New Roman" w:cs="Times New Roman"/>
        </w:rPr>
      </w:pPr>
      <w:r w:rsidRPr="007C7F01">
        <w:rPr>
          <w:rFonts w:ascii="Verdana" w:eastAsia="Times New Roman" w:hAnsi="Verdana" w:cs="Times New Roman"/>
          <w:color w:val="000000"/>
        </w:rPr>
        <w:t> </w:t>
      </w:r>
    </w:p>
    <w:p w14:paraId="5FADC36A" w14:textId="77777777" w:rsidR="007C7F01" w:rsidRPr="007C7F01" w:rsidRDefault="007C7F01" w:rsidP="007C7F01">
      <w:pPr>
        <w:rPr>
          <w:rFonts w:ascii="Verdana" w:eastAsia="Times New Roman" w:hAnsi="Verdana" w:cs="Times New Roman"/>
          <w:color w:val="000000"/>
        </w:rPr>
      </w:pPr>
      <w:r w:rsidRPr="007C7F01">
        <w:rPr>
          <w:rFonts w:ascii="Verdana" w:eastAsia="Times New Roman" w:hAnsi="Verdana" w:cs="Times New Roman"/>
          <w:color w:val="000000"/>
        </w:rPr>
        <w:t>Share</w:t>
      </w:r>
    </w:p>
    <w:p w14:paraId="282E9E4A" w14:textId="77777777" w:rsidR="007C7F01" w:rsidRPr="007C7F01" w:rsidRDefault="007C7F01" w:rsidP="007C7F01">
      <w:pPr>
        <w:rPr>
          <w:rFonts w:ascii="Verdana" w:eastAsia="Times New Roman" w:hAnsi="Verdana" w:cs="Times New Roman"/>
          <w:color w:val="000000"/>
        </w:rPr>
      </w:pPr>
      <w:r w:rsidRPr="007C7F01">
        <w:rPr>
          <w:rFonts w:ascii="Verdana" w:eastAsia="Times New Roman" w:hAnsi="Verdana" w:cs="Times New Roman"/>
          <w:color w:val="000000"/>
        </w:rPr>
        <w:t>News 26/07/2019</w:t>
      </w:r>
    </w:p>
    <w:p w14:paraId="1F7B3C20"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Five new medicines recommended for approval</w:t>
      </w:r>
    </w:p>
    <w:p w14:paraId="55BE56CA"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recommended five medicines for approval at its July 2019 meeting.</w:t>
      </w:r>
    </w:p>
    <w:p w14:paraId="021461F2"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Committee recommended granting a </w:t>
      </w:r>
      <w:hyperlink r:id="rId5" w:tgtFrame="_blank" w:tooltip="The approval of a medicine that address unmet medical needs of patients on the basis of less comprehensive data than normally required. The available data must indicate that the medicine’s benefits outweigh its risks and the applicant should be in a position to provide the comprehensive clinical data in the future. &#13; &#13; More information can be found under 'Conditional marketing authorisation'." w:history="1">
        <w:r w:rsidRPr="007C7F01">
          <w:rPr>
            <w:rFonts w:ascii="Verdana" w:eastAsia="Times New Roman" w:hAnsi="Verdana" w:cs="Times New Roman"/>
            <w:color w:val="000000"/>
            <w:u w:val="single"/>
          </w:rPr>
          <w:t>conditional marketing authorisation</w:t>
        </w:r>
      </w:hyperlink>
      <w:r w:rsidRPr="007C7F01">
        <w:rPr>
          <w:rFonts w:ascii="Verdana" w:eastAsia="Times New Roman" w:hAnsi="Verdana" w:cs="Times New Roman"/>
          <w:color w:val="000000"/>
        </w:rPr>
        <w:t> for </w:t>
      </w:r>
      <w:r w:rsidRPr="007C7F01">
        <w:rPr>
          <w:rFonts w:ascii="Verdana" w:eastAsia="Times New Roman" w:hAnsi="Verdana" w:cs="Times New Roman"/>
          <w:b/>
          <w:bCs/>
          <w:color w:val="000000"/>
        </w:rPr>
        <w:t>Vitrakvi</w:t>
      </w:r>
      <w:r w:rsidRPr="007C7F01">
        <w:rPr>
          <w:rFonts w:ascii="Verdana" w:eastAsia="Times New Roman" w:hAnsi="Verdana" w:cs="Times New Roman"/>
          <w:color w:val="000000"/>
        </w:rPr>
        <w:t> (larotrectinib), the first ‘histology-independent’ treatment in the European Union for solid tumours with a neurotrophic tyrosine receptor kinase (NTRK) gene fusion. NTRK gene fusions occur very frequently in a number of rare cancers. For more information, please see the press release in the grid below.</w:t>
      </w:r>
    </w:p>
    <w:p w14:paraId="62FE3D3B"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w:t>
      </w:r>
      <w:hyperlink r:id="rId6"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granted a positive opinion for </w:t>
      </w:r>
      <w:r w:rsidRPr="007C7F01">
        <w:rPr>
          <w:rFonts w:ascii="Verdana" w:eastAsia="Times New Roman" w:hAnsi="Verdana" w:cs="Times New Roman"/>
          <w:b/>
          <w:bCs/>
          <w:color w:val="000000"/>
        </w:rPr>
        <w:t>Epidyolex*</w:t>
      </w:r>
      <w:r w:rsidRPr="007C7F01">
        <w:rPr>
          <w:rFonts w:ascii="Verdana" w:eastAsia="Times New Roman" w:hAnsi="Verdana" w:cs="Times New Roman"/>
          <w:color w:val="000000"/>
        </w:rPr>
        <w:t> (cannabidiol) for the treatment of seizures associated with Lennox-Gastaut syndrome or Dravet syndrome, two forms of epilepsy. Epidyolex contains an </w:t>
      </w:r>
      <w:hyperlink r:id="rId7" w:tgtFrame="_blank" w:tooltip="The substance responsible for the activity of a medicine." w:history="1">
        <w:r w:rsidRPr="007C7F01">
          <w:rPr>
            <w:rFonts w:ascii="Verdana" w:eastAsia="Times New Roman" w:hAnsi="Verdana" w:cs="Times New Roman"/>
            <w:color w:val="000000"/>
            <w:u w:val="single"/>
          </w:rPr>
          <w:t>active substance</w:t>
        </w:r>
      </w:hyperlink>
      <w:r w:rsidRPr="007C7F01">
        <w:rPr>
          <w:rFonts w:ascii="Verdana" w:eastAsia="Times New Roman" w:hAnsi="Verdana" w:cs="Times New Roman"/>
          <w:color w:val="000000"/>
        </w:rPr>
        <w:t> derived from cannabis and is the first to receive a positive opinion in the EU </w:t>
      </w:r>
      <w:hyperlink r:id="rId8" w:tgtFrame="_blank" w:tooltip="The European Union-wide procedure for the authorisation of medicines, where there is a single application, a single evaluation and a single authorisation throughout the European Union. Only certain medicines are eligible for the centralised procedure. &#13; &#13; More information can be found under 'Authorisation of medicines'." w:history="1">
        <w:r w:rsidRPr="007C7F01">
          <w:rPr>
            <w:rFonts w:ascii="Verdana" w:eastAsia="Times New Roman" w:hAnsi="Verdana" w:cs="Times New Roman"/>
            <w:color w:val="000000"/>
            <w:u w:val="single"/>
          </w:rPr>
          <w:t>centralised procedure</w:t>
        </w:r>
      </w:hyperlink>
      <w:r w:rsidRPr="007C7F01">
        <w:rPr>
          <w:rFonts w:ascii="Verdana" w:eastAsia="Times New Roman" w:hAnsi="Verdana" w:cs="Times New Roman"/>
          <w:color w:val="000000"/>
        </w:rPr>
        <w:t>.</w:t>
      </w:r>
    </w:p>
    <w:p w14:paraId="4E7FE2BE" w14:textId="77777777" w:rsidR="007C7F01" w:rsidRPr="007C7F01" w:rsidRDefault="007C7F01" w:rsidP="007C7F01">
      <w:pPr>
        <w:spacing w:before="100" w:beforeAutospacing="1" w:after="100" w:afterAutospacing="1"/>
        <w:rPr>
          <w:rFonts w:ascii="Verdana" w:eastAsia="Times New Roman" w:hAnsi="Verdana" w:cs="Times New Roman"/>
          <w:color w:val="000000"/>
        </w:rPr>
      </w:pPr>
      <w:r w:rsidRPr="007C7F01">
        <w:rPr>
          <w:rFonts w:ascii="Verdana" w:eastAsia="Times New Roman" w:hAnsi="Verdana" w:cs="Times New Roman"/>
          <w:b/>
          <w:bCs/>
          <w:color w:val="000000"/>
        </w:rPr>
        <w:t>Inbrija</w:t>
      </w:r>
      <w:r w:rsidRPr="007C7F01">
        <w:rPr>
          <w:rFonts w:ascii="Verdana" w:eastAsia="Times New Roman" w:hAnsi="Verdana" w:cs="Times New Roman"/>
          <w:color w:val="000000"/>
        </w:rPr>
        <w:t> (levodopa) received a positive opinion for the treatment of symptoms of ‘off’ periods in Parkinson’s disease.</w:t>
      </w:r>
    </w:p>
    <w:p w14:paraId="1B2A697E" w14:textId="77777777" w:rsidR="007C7F01" w:rsidRPr="007C7F01" w:rsidRDefault="007C7F01" w:rsidP="007C7F01">
      <w:pPr>
        <w:spacing w:before="100" w:beforeAutospacing="1" w:after="100" w:afterAutospacing="1"/>
        <w:rPr>
          <w:rFonts w:ascii="Verdana" w:eastAsia="Times New Roman" w:hAnsi="Verdana" w:cs="Times New Roman"/>
          <w:color w:val="000000"/>
        </w:rPr>
      </w:pPr>
      <w:r w:rsidRPr="007C7F01">
        <w:rPr>
          <w:rFonts w:ascii="Verdana" w:eastAsia="Times New Roman" w:hAnsi="Verdana" w:cs="Times New Roman"/>
          <w:color w:val="000000"/>
        </w:rPr>
        <w:t>The Committee adopted a positive opinion for </w:t>
      </w:r>
      <w:r w:rsidRPr="007C7F01">
        <w:rPr>
          <w:rFonts w:ascii="Verdana" w:eastAsia="Times New Roman" w:hAnsi="Verdana" w:cs="Times New Roman"/>
          <w:b/>
          <w:bCs/>
          <w:color w:val="000000"/>
        </w:rPr>
        <w:t>Trogarzo</w:t>
      </w:r>
      <w:r w:rsidRPr="007C7F01">
        <w:rPr>
          <w:rFonts w:ascii="Verdana" w:eastAsia="Times New Roman" w:hAnsi="Verdana" w:cs="Times New Roman"/>
          <w:color w:val="000000"/>
        </w:rPr>
        <w:t> (ibalizumab), for the treatment of HIV infection.</w:t>
      </w:r>
    </w:p>
    <w:p w14:paraId="451DD1C7"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recommended for approval the </w:t>
      </w:r>
      <w:hyperlink r:id="rId10" w:tgtFrame="_blank" w:tooltip="A generic medicine is a medicine that is developed to be the same as a medicine that has already been authorised. Its authorisation is based on efficacy and safety data from studies on the authorised medicine. A company can only market a generic medicine once the 10-year exclusivity period for the original medicine has expired. &#13; &#13; More information can be found under Generic and hybrid medicines" w:history="1">
        <w:r w:rsidRPr="007C7F01">
          <w:rPr>
            <w:rFonts w:ascii="Verdana" w:eastAsia="Times New Roman" w:hAnsi="Verdana" w:cs="Times New Roman"/>
            <w:color w:val="000000"/>
            <w:u w:val="single"/>
          </w:rPr>
          <w:t>generic medicine</w:t>
        </w:r>
      </w:hyperlink>
      <w:r w:rsidRPr="007C7F01">
        <w:rPr>
          <w:rFonts w:ascii="Verdana" w:eastAsia="Times New Roman" w:hAnsi="Verdana" w:cs="Times New Roman"/>
          <w:color w:val="000000"/>
        </w:rPr>
        <w:t> </w:t>
      </w:r>
      <w:r w:rsidRPr="007C7F01">
        <w:rPr>
          <w:rFonts w:ascii="Verdana" w:eastAsia="Times New Roman" w:hAnsi="Verdana" w:cs="Times New Roman"/>
          <w:b/>
          <w:bCs/>
          <w:color w:val="000000"/>
        </w:rPr>
        <w:t>Deferasirox Mylan</w:t>
      </w:r>
      <w:r w:rsidRPr="007C7F01">
        <w:rPr>
          <w:rFonts w:ascii="Verdana" w:eastAsia="Times New Roman" w:hAnsi="Verdana" w:cs="Times New Roman"/>
          <w:color w:val="000000"/>
        </w:rPr>
        <w:t> (deferasirox), for the treatment of chronic iron overload due to blood transfusions in patients with beta thalassaemia major, non-transfusion-dependent thalassaemia syndromes and other anaemias.</w:t>
      </w:r>
    </w:p>
    <w:p w14:paraId="24059251"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Start of re-examination of recommendation for new medicine</w:t>
      </w:r>
    </w:p>
    <w:p w14:paraId="04CAEACC"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applicant for </w:t>
      </w:r>
      <w:r w:rsidRPr="007C7F01">
        <w:rPr>
          <w:rFonts w:ascii="Verdana" w:eastAsia="Times New Roman" w:hAnsi="Verdana" w:cs="Times New Roman"/>
          <w:b/>
          <w:bCs/>
          <w:color w:val="000000"/>
        </w:rPr>
        <w:t>Evenity</w:t>
      </w:r>
      <w:r w:rsidRPr="007C7F01">
        <w:rPr>
          <w:rFonts w:ascii="Verdana" w:eastAsia="Times New Roman" w:hAnsi="Verdana" w:cs="Times New Roman"/>
          <w:color w:val="000000"/>
        </w:rPr>
        <w:t> (romosozumab) has requested a </w:t>
      </w:r>
      <w:hyperlink r:id="rId11" w:tgtFrame="_blank" w:tooltip="A review of an opinion by a scientific committee of the Agency, triggered at the request of the applicant." w:history="1">
        <w:r w:rsidRPr="007C7F01">
          <w:rPr>
            <w:rFonts w:ascii="Verdana" w:eastAsia="Times New Roman" w:hAnsi="Verdana" w:cs="Times New Roman"/>
            <w:color w:val="000000"/>
            <w:u w:val="single"/>
          </w:rPr>
          <w:t>re-examination</w:t>
        </w:r>
      </w:hyperlink>
      <w:r w:rsidRPr="007C7F01">
        <w:rPr>
          <w:rFonts w:ascii="Verdana" w:eastAsia="Times New Roman" w:hAnsi="Verdana" w:cs="Times New Roman"/>
          <w:color w:val="000000"/>
        </w:rPr>
        <w:t> of the Committee's negative opinion for this medicine adopted at the June 2019 meeting. The </w:t>
      </w:r>
      <w:hyperlink r:id="rId12"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xml:space="preserve"> will re-examine the opinion and issue a </w:t>
      </w:r>
      <w:r w:rsidRPr="007C7F01">
        <w:rPr>
          <w:rFonts w:ascii="Verdana" w:eastAsia="Times New Roman" w:hAnsi="Verdana" w:cs="Times New Roman"/>
          <w:color w:val="000000"/>
        </w:rPr>
        <w:lastRenderedPageBreak/>
        <w:t>final recommendation. For more information on this negative opinion, please see the question-and-answer document in the grid below.</w:t>
      </w:r>
    </w:p>
    <w:p w14:paraId="779E3E84"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Eight recommendations on extensions of therapeutic indication</w:t>
      </w:r>
    </w:p>
    <w:p w14:paraId="0CD146D1"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Committee recommended extensions of </w:t>
      </w:r>
      <w:hyperlink r:id="rId13" w:tgtFrame="_blank" w:tooltip="A medical condition that a medicine is used for. This can include the treatment, prevention and diagnosis of a disease." w:history="1">
        <w:r w:rsidRPr="007C7F01">
          <w:rPr>
            <w:rFonts w:ascii="Verdana" w:eastAsia="Times New Roman" w:hAnsi="Verdana" w:cs="Times New Roman"/>
            <w:color w:val="000000"/>
            <w:u w:val="single"/>
          </w:rPr>
          <w:t>indication</w:t>
        </w:r>
      </w:hyperlink>
      <w:r w:rsidRPr="007C7F01">
        <w:rPr>
          <w:rFonts w:ascii="Verdana" w:eastAsia="Times New Roman" w:hAnsi="Verdana" w:cs="Times New Roman"/>
          <w:color w:val="000000"/>
        </w:rPr>
        <w:t> for </w:t>
      </w:r>
      <w:r w:rsidRPr="007C7F01">
        <w:rPr>
          <w:rFonts w:ascii="Verdana" w:eastAsia="Times New Roman" w:hAnsi="Verdana" w:cs="Times New Roman"/>
          <w:b/>
          <w:bCs/>
          <w:color w:val="000000"/>
        </w:rPr>
        <w:t>Empliciti, Keytruda, Lonsurf, Lucentis, Soliris, Stelara, Tecentriq and Zerbaxa</w:t>
      </w:r>
      <w:r w:rsidRPr="007C7F01">
        <w:rPr>
          <w:rFonts w:ascii="Verdana" w:eastAsia="Times New Roman" w:hAnsi="Verdana" w:cs="Times New Roman"/>
          <w:color w:val="000000"/>
        </w:rPr>
        <w:t>.</w:t>
      </w:r>
    </w:p>
    <w:p w14:paraId="539672F3"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Start of re-examination of recommendations on extension of therapeutic indications</w:t>
      </w:r>
    </w:p>
    <w:p w14:paraId="4DC4C8DE"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applicants for </w:t>
      </w:r>
      <w:r w:rsidRPr="007C7F01">
        <w:rPr>
          <w:rFonts w:ascii="Verdana" w:eastAsia="Times New Roman" w:hAnsi="Verdana" w:cs="Times New Roman"/>
          <w:b/>
          <w:bCs/>
          <w:color w:val="000000"/>
        </w:rPr>
        <w:t>Revolade</w:t>
      </w:r>
      <w:r w:rsidRPr="007C7F01">
        <w:rPr>
          <w:rFonts w:ascii="Verdana" w:eastAsia="Times New Roman" w:hAnsi="Verdana" w:cs="Times New Roman"/>
          <w:color w:val="000000"/>
        </w:rPr>
        <w:t> (eltrombopag) and </w:t>
      </w:r>
      <w:r w:rsidRPr="007C7F01">
        <w:rPr>
          <w:rFonts w:ascii="Verdana" w:eastAsia="Times New Roman" w:hAnsi="Verdana" w:cs="Times New Roman"/>
          <w:b/>
          <w:bCs/>
          <w:color w:val="000000"/>
        </w:rPr>
        <w:t>Translarna</w:t>
      </w:r>
      <w:r w:rsidRPr="007C7F01">
        <w:rPr>
          <w:rFonts w:ascii="Verdana" w:eastAsia="Times New Roman" w:hAnsi="Verdana" w:cs="Times New Roman"/>
          <w:color w:val="000000"/>
        </w:rPr>
        <w:t> (ataluren) have requested </w:t>
      </w:r>
      <w:hyperlink r:id="rId14" w:tgtFrame="_blank" w:tooltip="A review of an opinion by a scientific committee of the Agency, triggered at the request of the applicant." w:history="1">
        <w:r w:rsidRPr="007C7F01">
          <w:rPr>
            <w:rFonts w:ascii="Verdana" w:eastAsia="Times New Roman" w:hAnsi="Verdana" w:cs="Times New Roman"/>
            <w:color w:val="000000"/>
            <w:u w:val="single"/>
          </w:rPr>
          <w:t>re-examination</w:t>
        </w:r>
      </w:hyperlink>
      <w:r w:rsidRPr="007C7F01">
        <w:rPr>
          <w:rFonts w:ascii="Verdana" w:eastAsia="Times New Roman" w:hAnsi="Verdana" w:cs="Times New Roman"/>
          <w:color w:val="000000"/>
        </w:rPr>
        <w:t> of the Committee's negative opinions for these medicines adopted at the June 2019 meeting. The </w:t>
      </w:r>
      <w:hyperlink r:id="rId15"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will re-examine the opinions and issue final recommendations. For more information on these negative opinions, please see the question-and-answer documents in the grid below.</w:t>
      </w:r>
    </w:p>
    <w:p w14:paraId="115AB867"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Updated restrictions for Gilenya</w:t>
      </w:r>
    </w:p>
    <w:p w14:paraId="60611365"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w:t>
      </w:r>
      <w:hyperlink r:id="rId16"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recommended that the multiple sclerosis medicine Gilenya (fingolimod) must not be used in pregnant women and in women able to have children who are not using effective contraception. If a woman becomes pregnant while using Gilenya, the medicine must be stopped and the pregnancy will have to be closely monitored. This is because the </w:t>
      </w:r>
      <w:hyperlink r:id="rId17" w:tgtFrame="_blank" w:tooltip="The substance responsible for the activity of a medicine." w:history="1">
        <w:r w:rsidRPr="007C7F01">
          <w:rPr>
            <w:rFonts w:ascii="Verdana" w:eastAsia="Times New Roman" w:hAnsi="Verdana" w:cs="Times New Roman"/>
            <w:color w:val="000000"/>
            <w:u w:val="single"/>
          </w:rPr>
          <w:t>active substance</w:t>
        </w:r>
      </w:hyperlink>
      <w:r w:rsidRPr="007C7F01">
        <w:rPr>
          <w:rFonts w:ascii="Verdana" w:eastAsia="Times New Roman" w:hAnsi="Verdana" w:cs="Times New Roman"/>
          <w:color w:val="000000"/>
        </w:rPr>
        <w:t> in Gilenya, fingolimod, can harm the unborn baby and may cause birth defects. For more information, please see the public health recommendation in the grid below.</w:t>
      </w:r>
    </w:p>
    <w:p w14:paraId="0731EA94"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Agenda and minutes</w:t>
      </w:r>
    </w:p>
    <w:p w14:paraId="2100DDEC"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The agenda of the July 2019 meeting is published on EMA's website. Minutes of the June 2019 </w:t>
      </w:r>
      <w:hyperlink r:id="rId1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meeting will be published in the coming weeks.</w:t>
      </w:r>
    </w:p>
    <w:p w14:paraId="394E7C61" w14:textId="77777777" w:rsidR="007C7F01" w:rsidRPr="007C7F01" w:rsidRDefault="007C7F01" w:rsidP="007C7F01">
      <w:pPr>
        <w:spacing w:before="100" w:beforeAutospacing="1" w:after="100" w:afterAutospacing="1"/>
        <w:outlineLvl w:val="3"/>
        <w:rPr>
          <w:rFonts w:ascii="Verdana" w:eastAsia="Times New Roman" w:hAnsi="Verdana" w:cs="Times New Roman"/>
          <w:b/>
          <w:bCs/>
          <w:color w:val="404040"/>
        </w:rPr>
      </w:pPr>
      <w:r w:rsidRPr="007C7F01">
        <w:rPr>
          <w:rFonts w:ascii="Verdana" w:eastAsia="Times New Roman" w:hAnsi="Verdana" w:cs="Times New Roman"/>
          <w:b/>
          <w:bCs/>
          <w:color w:val="404040"/>
        </w:rPr>
        <w:t>CHMP statistics</w:t>
      </w:r>
    </w:p>
    <w:p w14:paraId="13066052"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Key figures from the July 2019 </w:t>
      </w: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7C7F01">
          <w:rPr>
            <w:rFonts w:ascii="Verdana" w:eastAsia="Times New Roman" w:hAnsi="Verdana" w:cs="Times New Roman"/>
            <w:color w:val="000000"/>
            <w:u w:val="single"/>
          </w:rPr>
          <w:t>CHMP</w:t>
        </w:r>
      </w:hyperlink>
      <w:r w:rsidRPr="007C7F01">
        <w:rPr>
          <w:rFonts w:ascii="Verdana" w:eastAsia="Times New Roman" w:hAnsi="Verdana" w:cs="Times New Roman"/>
          <w:color w:val="000000"/>
        </w:rPr>
        <w:t> meeting are represented in the graphic below.</w:t>
      </w:r>
    </w:p>
    <w:p w14:paraId="76A9DD69" w14:textId="77777777" w:rsidR="007C7F01" w:rsidRPr="007C7F01" w:rsidRDefault="007C7F01" w:rsidP="007C7F01">
      <w:pPr>
        <w:spacing w:beforeAutospacing="1" w:afterAutospacing="1"/>
        <w:rPr>
          <w:rFonts w:ascii="Verdana" w:eastAsia="Times New Roman" w:hAnsi="Verdana" w:cs="Times New Roman"/>
          <w:color w:val="000000"/>
        </w:rPr>
      </w:pPr>
      <w:r w:rsidRPr="007C7F01">
        <w:rPr>
          <w:rFonts w:ascii="Verdana" w:eastAsia="Times New Roman" w:hAnsi="Verdana" w:cs="Times New Roman"/>
          <w:color w:val="000000"/>
        </w:rPr>
        <w:t>*This product was designated as an </w:t>
      </w:r>
      <w:hyperlink r:id="rId20" w:tgtFrame="_blank" w:tooltip="A medicine for the diagnosis, prevention or treatment of a life-threatening or chronically debilitating condition that is rare (affecting not more than five in 10,000 people in the European Union) or where the medicine is unlikely to generate sufficient profit to justify research and development costs. &#13; &#13; More information can be found under 'Orphan designation -  Overview'." w:history="1">
        <w:r w:rsidRPr="007C7F01">
          <w:rPr>
            <w:rFonts w:ascii="Verdana" w:eastAsia="Times New Roman" w:hAnsi="Verdana" w:cs="Times New Roman"/>
            <w:color w:val="000000"/>
            <w:u w:val="single"/>
          </w:rPr>
          <w:t>orphan medicine</w:t>
        </w:r>
      </w:hyperlink>
      <w:r w:rsidRPr="007C7F01">
        <w:rPr>
          <w:rFonts w:ascii="Verdana" w:eastAsia="Times New Roman" w:hAnsi="Verdana" w:cs="Times New Roman"/>
          <w:color w:val="000000"/>
        </w:rPr>
        <w:t> during its development. </w:t>
      </w:r>
      <w:hyperlink r:id="rId21" w:tgtFrame="_blank" w:tooltip="A status assigned to a medicine intended for use against a rare condition. The medicine must fulfil certain criteria for designation as an orphan medicine so that it can benefit from incentives such as protection from competition once on the market. &#13; &#13; More information can be found under 'Orphan designation -  Overview'." w:history="1">
        <w:r w:rsidRPr="007C7F01">
          <w:rPr>
            <w:rFonts w:ascii="Verdana" w:eastAsia="Times New Roman" w:hAnsi="Verdana" w:cs="Times New Roman"/>
            <w:color w:val="000000"/>
            <w:u w:val="single"/>
          </w:rPr>
          <w:t>Orphan designations</w:t>
        </w:r>
      </w:hyperlink>
      <w:r w:rsidRPr="007C7F01">
        <w:rPr>
          <w:rFonts w:ascii="Verdana" w:eastAsia="Times New Roman" w:hAnsi="Verdana" w:cs="Times New Roman"/>
          <w:color w:val="000000"/>
        </w:rPr>
        <w:t> are reviewed by EMA's </w:t>
      </w:r>
      <w:hyperlink r:id="rId22" w:tgtFrame="_blank" w:tooltip="The committee that is responsible for reviewing applications for orphan designation for medicines that are intended for the diagnosis, prevention or treatment of rare diseases. Abbreviated as COMP. &#13; &#13; More information can be found under 'Committee for Orphan Medicinal Products (COMP)'." w:history="1">
        <w:r w:rsidRPr="007C7F01">
          <w:rPr>
            <w:rFonts w:ascii="Verdana" w:eastAsia="Times New Roman" w:hAnsi="Verdana" w:cs="Times New Roman"/>
            <w:color w:val="000000"/>
            <w:u w:val="single"/>
          </w:rPr>
          <w:t>Committee for Orphan Medicinal Products</w:t>
        </w:r>
      </w:hyperlink>
      <w:r w:rsidRPr="007C7F01">
        <w:rPr>
          <w:rFonts w:ascii="Verdana" w:eastAsia="Times New Roman" w:hAnsi="Verdana" w:cs="Times New Roman"/>
          <w:color w:val="000000"/>
        </w:rPr>
        <w:t> (</w:t>
      </w:r>
      <w:hyperlink r:id="rId23" w:tgtFrame="_blank" w:tooltip="Committee for Orphan Medicinal Products -  the committee that is responsible for reviewing applications for orphan designation for medicines that are intended for the diagnosis, prevention or treatment of rare diseases. &#13; &#13; More information can be found under 'Committee for Orphan Medicinal Products (COMP)'." w:history="1">
        <w:r w:rsidRPr="007C7F01">
          <w:rPr>
            <w:rFonts w:ascii="Verdana" w:eastAsia="Times New Roman" w:hAnsi="Verdana" w:cs="Times New Roman"/>
            <w:color w:val="000000"/>
            <w:u w:val="single"/>
          </w:rPr>
          <w:t>COMP</w:t>
        </w:r>
      </w:hyperlink>
      <w:r w:rsidRPr="007C7F01">
        <w:rPr>
          <w:rFonts w:ascii="Verdana" w:eastAsia="Times New Roman" w:hAnsi="Verdana" w:cs="Times New Roman"/>
          <w:color w:val="000000"/>
        </w:rPr>
        <w:t>) at the time of approval to determine whether the information available to date allows maintaining the medicine's orphan status and granting the medicine ten years of </w:t>
      </w:r>
      <w:hyperlink r:id="rId24" w:tgtFrame="_blank" w:tooltip="The 10-year period after the marketing authorisation of an orphan medicine when similar medicines for the same indication cannot be placed on the market. &#13; &#13; More information can be found under 'Marketing authorisation and market exclusivity'." w:history="1">
        <w:r w:rsidRPr="007C7F01">
          <w:rPr>
            <w:rFonts w:ascii="Verdana" w:eastAsia="Times New Roman" w:hAnsi="Verdana" w:cs="Times New Roman"/>
            <w:color w:val="000000"/>
            <w:u w:val="single"/>
          </w:rPr>
          <w:t>market exclusivity</w:t>
        </w:r>
      </w:hyperlink>
      <w:r w:rsidRPr="007C7F01">
        <w:rPr>
          <w:rFonts w:ascii="Verdana" w:eastAsia="Times New Roman" w:hAnsi="Verdana" w:cs="Times New Roman"/>
          <w:color w:val="000000"/>
        </w:rPr>
        <w:t>.</w:t>
      </w:r>
    </w:p>
    <w:p w14:paraId="6251ABB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D1"/>
    <w:rsid w:val="003156D1"/>
    <w:rsid w:val="00453EED"/>
    <w:rsid w:val="007C7F0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0CE3F"/>
  <w14:defaultImageDpi w14:val="32767"/>
  <w15:chartTrackingRefBased/>
  <w15:docId w15:val="{E18062DB-E37A-B149-AC1C-146BA490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7F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C7F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F0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C7F01"/>
    <w:rPr>
      <w:rFonts w:ascii="Times New Roman" w:eastAsia="Times New Roman" w:hAnsi="Times New Roman" w:cs="Times New Roman"/>
      <w:b/>
      <w:bCs/>
    </w:rPr>
  </w:style>
  <w:style w:type="character" w:customStyle="1" w:styleId="apple-converted-space">
    <w:name w:val="apple-converted-space"/>
    <w:basedOn w:val="DefaultParagraphFont"/>
    <w:rsid w:val="007C7F01"/>
  </w:style>
  <w:style w:type="character" w:customStyle="1" w:styleId="date-display-single">
    <w:name w:val="date-display-single"/>
    <w:basedOn w:val="DefaultParagraphFont"/>
    <w:rsid w:val="007C7F01"/>
  </w:style>
  <w:style w:type="paragraph" w:styleId="NormalWeb">
    <w:name w:val="Normal (Web)"/>
    <w:basedOn w:val="Normal"/>
    <w:uiPriority w:val="99"/>
    <w:semiHidden/>
    <w:unhideWhenUsed/>
    <w:rsid w:val="007C7F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7F01"/>
    <w:rPr>
      <w:color w:val="0000FF"/>
      <w:u w:val="single"/>
    </w:rPr>
  </w:style>
  <w:style w:type="character" w:styleId="Strong">
    <w:name w:val="Strong"/>
    <w:basedOn w:val="DefaultParagraphFont"/>
    <w:uiPriority w:val="22"/>
    <w:qFormat/>
    <w:rsid w:val="007C7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58962">
      <w:bodyDiv w:val="1"/>
      <w:marLeft w:val="0"/>
      <w:marRight w:val="0"/>
      <w:marTop w:val="0"/>
      <w:marBottom w:val="0"/>
      <w:divBdr>
        <w:top w:val="none" w:sz="0" w:space="0" w:color="auto"/>
        <w:left w:val="none" w:sz="0" w:space="0" w:color="auto"/>
        <w:bottom w:val="none" w:sz="0" w:space="0" w:color="auto"/>
        <w:right w:val="none" w:sz="0" w:space="0" w:color="auto"/>
      </w:divBdr>
      <w:divsChild>
        <w:div w:id="1773431028">
          <w:marLeft w:val="0"/>
          <w:marRight w:val="0"/>
          <w:marTop w:val="0"/>
          <w:marBottom w:val="0"/>
          <w:divBdr>
            <w:top w:val="none" w:sz="0" w:space="0" w:color="auto"/>
            <w:left w:val="none" w:sz="0" w:space="0" w:color="auto"/>
            <w:bottom w:val="none" w:sz="0" w:space="0" w:color="auto"/>
            <w:right w:val="none" w:sz="0" w:space="0" w:color="auto"/>
          </w:divBdr>
          <w:divsChild>
            <w:div w:id="1790315717">
              <w:marLeft w:val="0"/>
              <w:marRight w:val="0"/>
              <w:marTop w:val="0"/>
              <w:marBottom w:val="0"/>
              <w:divBdr>
                <w:top w:val="none" w:sz="0" w:space="0" w:color="auto"/>
                <w:left w:val="none" w:sz="0" w:space="0" w:color="auto"/>
                <w:bottom w:val="none" w:sz="0" w:space="0" w:color="auto"/>
                <w:right w:val="none" w:sz="0" w:space="0" w:color="auto"/>
              </w:divBdr>
            </w:div>
          </w:divsChild>
        </w:div>
        <w:div w:id="111754542">
          <w:marLeft w:val="0"/>
          <w:marRight w:val="0"/>
          <w:marTop w:val="0"/>
          <w:marBottom w:val="0"/>
          <w:divBdr>
            <w:top w:val="none" w:sz="0" w:space="0" w:color="auto"/>
            <w:left w:val="none" w:sz="0" w:space="0" w:color="auto"/>
            <w:bottom w:val="none" w:sz="0" w:space="0" w:color="auto"/>
            <w:right w:val="none" w:sz="0" w:space="0" w:color="auto"/>
          </w:divBdr>
        </w:div>
        <w:div w:id="795830674">
          <w:marLeft w:val="0"/>
          <w:marRight w:val="0"/>
          <w:marTop w:val="0"/>
          <w:marBottom w:val="0"/>
          <w:divBdr>
            <w:top w:val="none" w:sz="0" w:space="0" w:color="auto"/>
            <w:left w:val="none" w:sz="0" w:space="0" w:color="auto"/>
            <w:bottom w:val="none" w:sz="0" w:space="0" w:color="auto"/>
            <w:right w:val="none" w:sz="0" w:space="0" w:color="auto"/>
          </w:divBdr>
          <w:divsChild>
            <w:div w:id="824510412">
              <w:marLeft w:val="0"/>
              <w:marRight w:val="0"/>
              <w:marTop w:val="0"/>
              <w:marBottom w:val="0"/>
              <w:divBdr>
                <w:top w:val="none" w:sz="0" w:space="0" w:color="auto"/>
                <w:left w:val="none" w:sz="0" w:space="0" w:color="auto"/>
                <w:bottom w:val="none" w:sz="0" w:space="0" w:color="auto"/>
                <w:right w:val="none" w:sz="0" w:space="0" w:color="auto"/>
              </w:divBdr>
              <w:divsChild>
                <w:div w:id="1314598493">
                  <w:marLeft w:val="0"/>
                  <w:marRight w:val="0"/>
                  <w:marTop w:val="0"/>
                  <w:marBottom w:val="0"/>
                  <w:divBdr>
                    <w:top w:val="none" w:sz="0" w:space="0" w:color="auto"/>
                    <w:left w:val="none" w:sz="0" w:space="0" w:color="auto"/>
                    <w:bottom w:val="none" w:sz="0" w:space="0" w:color="auto"/>
                    <w:right w:val="none" w:sz="0" w:space="0" w:color="auto"/>
                  </w:divBdr>
                  <w:divsChild>
                    <w:div w:id="532429176">
                      <w:marLeft w:val="0"/>
                      <w:marRight w:val="0"/>
                      <w:marTop w:val="0"/>
                      <w:marBottom w:val="0"/>
                      <w:divBdr>
                        <w:top w:val="none" w:sz="0" w:space="0" w:color="auto"/>
                        <w:left w:val="none" w:sz="0" w:space="0" w:color="auto"/>
                        <w:bottom w:val="none" w:sz="0" w:space="0" w:color="auto"/>
                        <w:right w:val="none" w:sz="0" w:space="0" w:color="auto"/>
                      </w:divBdr>
                      <w:divsChild>
                        <w:div w:id="1100368422">
                          <w:marLeft w:val="0"/>
                          <w:marRight w:val="0"/>
                          <w:marTop w:val="0"/>
                          <w:marBottom w:val="0"/>
                          <w:divBdr>
                            <w:top w:val="none" w:sz="0" w:space="0" w:color="auto"/>
                            <w:left w:val="none" w:sz="0" w:space="0" w:color="auto"/>
                            <w:bottom w:val="none" w:sz="0" w:space="0" w:color="auto"/>
                            <w:right w:val="none" w:sz="0" w:space="0" w:color="auto"/>
                          </w:divBdr>
                          <w:divsChild>
                            <w:div w:id="1572349296">
                              <w:marLeft w:val="0"/>
                              <w:marRight w:val="0"/>
                              <w:marTop w:val="0"/>
                              <w:marBottom w:val="0"/>
                              <w:divBdr>
                                <w:top w:val="none" w:sz="0" w:space="0" w:color="auto"/>
                                <w:left w:val="none" w:sz="0" w:space="0" w:color="auto"/>
                                <w:bottom w:val="none" w:sz="0" w:space="0" w:color="auto"/>
                                <w:right w:val="none" w:sz="0" w:space="0" w:color="auto"/>
                              </w:divBdr>
                              <w:divsChild>
                                <w:div w:id="1778864700">
                                  <w:marLeft w:val="0"/>
                                  <w:marRight w:val="0"/>
                                  <w:marTop w:val="0"/>
                                  <w:marBottom w:val="0"/>
                                  <w:divBdr>
                                    <w:top w:val="none" w:sz="0" w:space="0" w:color="auto"/>
                                    <w:left w:val="none" w:sz="0" w:space="0" w:color="auto"/>
                                    <w:bottom w:val="none" w:sz="0" w:space="0" w:color="auto"/>
                                    <w:right w:val="none" w:sz="0" w:space="0" w:color="auto"/>
                                  </w:divBdr>
                                  <w:divsChild>
                                    <w:div w:id="8169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entralised-procedure" TargetMode="External"/><Relationship Id="rId13" Type="http://schemas.openxmlformats.org/officeDocument/2006/relationships/hyperlink" Target="https://www.ema.europa.eu/en/glossary/indication" TargetMode="External"/><Relationship Id="rId18" Type="http://schemas.openxmlformats.org/officeDocument/2006/relationships/hyperlink" Target="https://www.ema.europa.eu/en/glossary/chm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ma.europa.eu/en/glossary/orphan-designation" TargetMode="External"/><Relationship Id="rId7" Type="http://schemas.openxmlformats.org/officeDocument/2006/relationships/hyperlink" Target="https://www.ema.europa.eu/en/glossary/active-substance" TargetMode="External"/><Relationship Id="rId12" Type="http://schemas.openxmlformats.org/officeDocument/2006/relationships/hyperlink" Target="https://www.ema.europa.eu/en/glossary/chmp" TargetMode="External"/><Relationship Id="rId17" Type="http://schemas.openxmlformats.org/officeDocument/2006/relationships/hyperlink" Target="https://www.ema.europa.eu/en/glossary/active-substanc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ma.europa.eu/en/glossary/chmp" TargetMode="External"/><Relationship Id="rId20" Type="http://schemas.openxmlformats.org/officeDocument/2006/relationships/hyperlink" Target="https://www.ema.europa.eu/en/glossary/orphan-medicine" TargetMode="External"/><Relationship Id="rId1" Type="http://schemas.openxmlformats.org/officeDocument/2006/relationships/styles" Target="styles.xml"/><Relationship Id="rId6" Type="http://schemas.openxmlformats.org/officeDocument/2006/relationships/hyperlink" Target="https://www.ema.europa.eu/en/glossary/chmp" TargetMode="External"/><Relationship Id="rId11" Type="http://schemas.openxmlformats.org/officeDocument/2006/relationships/hyperlink" Target="https://www.ema.europa.eu/en/glossary/re-examination" TargetMode="External"/><Relationship Id="rId24" Type="http://schemas.openxmlformats.org/officeDocument/2006/relationships/hyperlink" Target="https://www.ema.europa.eu/en/glossary/market-exclusivity" TargetMode="External"/><Relationship Id="rId5" Type="http://schemas.openxmlformats.org/officeDocument/2006/relationships/hyperlink" Target="https://www.ema.europa.eu/en/glossary/conditional-marketing-authorisation" TargetMode="External"/><Relationship Id="rId15" Type="http://schemas.openxmlformats.org/officeDocument/2006/relationships/hyperlink" Target="https://www.ema.europa.eu/en/glossary/chmp" TargetMode="External"/><Relationship Id="rId23" Type="http://schemas.openxmlformats.org/officeDocument/2006/relationships/hyperlink" Target="https://www.ema.europa.eu/en/glossary/comp" TargetMode="External"/><Relationship Id="rId10" Type="http://schemas.openxmlformats.org/officeDocument/2006/relationships/hyperlink" Target="https://www.ema.europa.eu/en/glossary/generic-medicine" TargetMode="External"/><Relationship Id="rId19" Type="http://schemas.openxmlformats.org/officeDocument/2006/relationships/hyperlink" Target="https://www.ema.europa.eu/en/glossary/chmp"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chmp" TargetMode="External"/><Relationship Id="rId14" Type="http://schemas.openxmlformats.org/officeDocument/2006/relationships/hyperlink" Target="https://www.ema.europa.eu/en/glossary/re-examination" TargetMode="External"/><Relationship Id="rId22" Type="http://schemas.openxmlformats.org/officeDocument/2006/relationships/hyperlink" Target="https://www.ema.europa.eu/en/glossary/committee-orphan-medicinal-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2020-02-18T11:02:00Z</dcterms:created>
  <dcterms:modified xsi:type="dcterms:W3CDTF">2020-02-18T11:05:00Z</dcterms:modified>
</cp:coreProperties>
</file>