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CA61C" w14:textId="77777777" w:rsidR="00C1550C" w:rsidRPr="00C1550C" w:rsidRDefault="00C1550C" w:rsidP="00C1550C">
      <w:pPr>
        <w:outlineLvl w:val="0"/>
        <w:rPr>
          <w:rFonts w:ascii="Verdana" w:eastAsia="Times New Roman" w:hAnsi="Verdana" w:cs="Times New Roman"/>
          <w:color w:val="000000"/>
          <w:kern w:val="36"/>
          <w:sz w:val="48"/>
          <w:szCs w:val="48"/>
        </w:rPr>
      </w:pPr>
      <w:r w:rsidRPr="00C1550C">
        <w:rPr>
          <w:rFonts w:ascii="Verdana" w:eastAsia="Times New Roman" w:hAnsi="Verdana" w:cs="Times New Roman"/>
          <w:color w:val="000000"/>
          <w:kern w:val="36"/>
          <w:sz w:val="48"/>
          <w:szCs w:val="48"/>
        </w:rPr>
        <w:t>How will pharmacovigilance look in 2030? </w:t>
      </w:r>
    </w:p>
    <w:p w14:paraId="349D3453" w14:textId="77777777" w:rsidR="00C1550C" w:rsidRPr="00C1550C" w:rsidRDefault="00C1550C" w:rsidP="00C1550C">
      <w:pPr>
        <w:rPr>
          <w:rFonts w:ascii="Verdana" w:eastAsia="Times New Roman" w:hAnsi="Verdana" w:cs="Times New Roman"/>
          <w:color w:val="000000"/>
        </w:rPr>
      </w:pPr>
      <w:r w:rsidRPr="00C1550C">
        <w:rPr>
          <w:rFonts w:ascii="Verdana" w:eastAsia="Times New Roman" w:hAnsi="Verdana" w:cs="Times New Roman"/>
          <w:color w:val="000000"/>
        </w:rPr>
        <w:t>Share</w:t>
      </w:r>
    </w:p>
    <w:p w14:paraId="0DED17D1" w14:textId="77777777" w:rsidR="00C1550C" w:rsidRPr="00C1550C" w:rsidRDefault="00C1550C" w:rsidP="00C1550C">
      <w:pPr>
        <w:rPr>
          <w:rFonts w:ascii="Verdana" w:eastAsia="Times New Roman" w:hAnsi="Verdana" w:cs="Times New Roman"/>
          <w:color w:val="000000"/>
        </w:rPr>
      </w:pPr>
      <w:r w:rsidRPr="00C1550C">
        <w:rPr>
          <w:rFonts w:ascii="Verdana" w:eastAsia="Times New Roman" w:hAnsi="Verdana" w:cs="Times New Roman"/>
          <w:color w:val="000000"/>
        </w:rPr>
        <w:t>News 10/12/2019</w:t>
      </w:r>
    </w:p>
    <w:p w14:paraId="5BB76139" w14:textId="11A0BFDA" w:rsidR="00C1550C" w:rsidRPr="00C1550C" w:rsidRDefault="00C1550C" w:rsidP="00C1550C">
      <w:pPr>
        <w:spacing w:beforeAutospacing="1" w:afterAutospacing="1"/>
        <w:rPr>
          <w:rFonts w:ascii="Verdana" w:eastAsia="Times New Roman" w:hAnsi="Verdana" w:cs="Times New Roman"/>
          <w:color w:val="000000"/>
        </w:rPr>
      </w:pPr>
      <w:r w:rsidRPr="00927E75">
        <w:rPr>
          <w:rFonts w:ascii="Verdana" w:eastAsia="Times New Roman" w:hAnsi="Verdana" w:cs="Times New Roman"/>
          <w:color w:val="000000"/>
          <w:highlight w:val="lightGray"/>
        </w:rPr>
        <w:t>Smarter collection and reporting of safety reports of suspected adverse reactions, measurement of on-market performance of medicines, and improved engagement between regulators, patients and healthcare professionals will be key elements of </w:t>
      </w:r>
      <w:hyperlink r:id="rId4" w:tgtFrame="_blank" w:tooltip="Science and activities relating to the detection, assessment, understanding and prevention of adverse effects or any other medicine-related problem. &#13; &#13; More information can be found under 'Pharmacovigilance -  Overview'." w:history="1">
        <w:r w:rsidRPr="00927E75">
          <w:rPr>
            <w:rFonts w:ascii="Verdana" w:eastAsia="Times New Roman" w:hAnsi="Verdana" w:cs="Times New Roman"/>
            <w:color w:val="000000"/>
            <w:highlight w:val="lightGray"/>
            <w:u w:val="single"/>
          </w:rPr>
          <w:t>pharmacovigilance</w:t>
        </w:r>
      </w:hyperlink>
      <w:r w:rsidRPr="00927E75">
        <w:rPr>
          <w:rFonts w:ascii="Verdana" w:eastAsia="Times New Roman" w:hAnsi="Verdana" w:cs="Times New Roman"/>
          <w:color w:val="000000"/>
          <w:highlight w:val="lightGray"/>
        </w:rPr>
        <w:t> in 2030. These predictions are made in an </w:t>
      </w:r>
      <w:hyperlink r:id="rId5" w:tgtFrame="_blank" w:history="1">
        <w:r w:rsidRPr="00927E75">
          <w:rPr>
            <w:rFonts w:ascii="Verdana" w:eastAsia="Times New Roman" w:hAnsi="Verdana" w:cs="Times New Roman"/>
            <w:color w:val="75197C"/>
            <w:highlight w:val="lightGray"/>
            <w:u w:val="single"/>
          </w:rPr>
          <w:t>article</w:t>
        </w:r>
      </w:hyperlink>
      <w:r w:rsidR="00BB3C3D">
        <w:rPr>
          <w:rFonts w:ascii="Verdana" w:eastAsia="Times New Roman" w:hAnsi="Verdana" w:cs="Times New Roman"/>
          <w:color w:val="75197C"/>
          <w:highlight w:val="lightGray"/>
          <w:u w:val="single"/>
        </w:rPr>
        <w:t xml:space="preserve"> </w:t>
      </w:r>
      <w:r w:rsidRPr="00927E75">
        <w:rPr>
          <w:rFonts w:ascii="Verdana" w:eastAsia="Times New Roman" w:hAnsi="Verdana" w:cs="Times New Roman"/>
          <w:color w:val="000000"/>
          <w:highlight w:val="lightGray"/>
        </w:rPr>
        <w:t xml:space="preserve">from Guido </w:t>
      </w:r>
      <w:proofErr w:type="spellStart"/>
      <w:r w:rsidRPr="00927E75">
        <w:rPr>
          <w:rFonts w:ascii="Verdana" w:eastAsia="Times New Roman" w:hAnsi="Verdana" w:cs="Times New Roman"/>
          <w:color w:val="000000"/>
          <w:highlight w:val="lightGray"/>
        </w:rPr>
        <w:t>Rasi</w:t>
      </w:r>
      <w:proofErr w:type="spellEnd"/>
      <w:r w:rsidRPr="00927E75">
        <w:rPr>
          <w:rFonts w:ascii="Verdana" w:eastAsia="Times New Roman" w:hAnsi="Verdana" w:cs="Times New Roman"/>
          <w:color w:val="000000"/>
          <w:highlight w:val="lightGray"/>
        </w:rPr>
        <w:t>, EMA's Executive Director, Sabine Straus, the chair of EMA's safety committee (</w:t>
      </w:r>
      <w:hyperlink r:id="rId6"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927E75">
          <w:rPr>
            <w:rFonts w:ascii="Verdana" w:eastAsia="Times New Roman" w:hAnsi="Verdana" w:cs="Times New Roman"/>
            <w:color w:val="000000"/>
            <w:highlight w:val="lightGray"/>
            <w:u w:val="single"/>
          </w:rPr>
          <w:t>PRAC</w:t>
        </w:r>
      </w:hyperlink>
      <w:r w:rsidRPr="00927E75">
        <w:rPr>
          <w:rFonts w:ascii="Verdana" w:eastAsia="Times New Roman" w:hAnsi="Verdana" w:cs="Times New Roman"/>
          <w:color w:val="000000"/>
          <w:highlight w:val="lightGray"/>
        </w:rPr>
        <w:t xml:space="preserve">) and Peter </w:t>
      </w:r>
      <w:proofErr w:type="spellStart"/>
      <w:r w:rsidRPr="00927E75">
        <w:rPr>
          <w:rFonts w:ascii="Verdana" w:eastAsia="Times New Roman" w:hAnsi="Verdana" w:cs="Times New Roman"/>
          <w:color w:val="000000"/>
          <w:highlight w:val="lightGray"/>
        </w:rPr>
        <w:t>Arlett</w:t>
      </w:r>
      <w:proofErr w:type="spellEnd"/>
      <w:r w:rsidRPr="00927E75">
        <w:rPr>
          <w:rFonts w:ascii="Verdana" w:eastAsia="Times New Roman" w:hAnsi="Verdana" w:cs="Times New Roman"/>
          <w:color w:val="000000"/>
          <w:highlight w:val="lightGray"/>
        </w:rPr>
        <w:t>, the Agency's Head of </w:t>
      </w:r>
      <w:hyperlink r:id="rId7" w:tgtFrame="_blank" w:tooltip="Science and activities relating to the detection, assessment, understanding and prevention of adverse effects or any other medicine-related problem. &#13; &#13; More information can be found under 'Pharmacovigilance -  Overview'." w:history="1">
        <w:r w:rsidRPr="00927E75">
          <w:rPr>
            <w:rFonts w:ascii="Verdana" w:eastAsia="Times New Roman" w:hAnsi="Verdana" w:cs="Times New Roman"/>
            <w:color w:val="000000"/>
            <w:highlight w:val="lightGray"/>
            <w:u w:val="single"/>
          </w:rPr>
          <w:t>Pharmacovigilance</w:t>
        </w:r>
      </w:hyperlink>
      <w:r w:rsidRPr="00927E75">
        <w:rPr>
          <w:rFonts w:ascii="Verdana" w:eastAsia="Times New Roman" w:hAnsi="Verdana" w:cs="Times New Roman"/>
          <w:color w:val="000000"/>
          <w:highlight w:val="lightGray"/>
        </w:rPr>
        <w:t> and Epidemiology, published in Clinical Pharmacology and Therapeutics.</w:t>
      </w:r>
    </w:p>
    <w:p w14:paraId="2519BFAB" w14:textId="77777777" w:rsidR="00C1550C" w:rsidRPr="00C1550C" w:rsidRDefault="00C1550C" w:rsidP="00C1550C">
      <w:pPr>
        <w:spacing w:beforeAutospacing="1" w:afterAutospacing="1"/>
        <w:rPr>
          <w:rFonts w:ascii="Verdana" w:eastAsia="Times New Roman" w:hAnsi="Verdana" w:cs="Times New Roman"/>
          <w:color w:val="000000"/>
        </w:rPr>
      </w:pPr>
      <w:r w:rsidRPr="00927E75">
        <w:rPr>
          <w:rFonts w:ascii="Verdana" w:eastAsia="Times New Roman" w:hAnsi="Verdana" w:cs="Times New Roman"/>
          <w:color w:val="000000"/>
          <w:highlight w:val="darkGray"/>
        </w:rPr>
        <w:t xml:space="preserve">Medicines prevent, diagnose or treat diseases, but they also can have side effects. Therefore, their risks need to be balanced against their benefits and only medicines with a positive benefit-risk balance are </w:t>
      </w:r>
      <w:proofErr w:type="spellStart"/>
      <w:r w:rsidRPr="00927E75">
        <w:rPr>
          <w:rFonts w:ascii="Verdana" w:eastAsia="Times New Roman" w:hAnsi="Verdana" w:cs="Times New Roman"/>
          <w:color w:val="000000"/>
          <w:highlight w:val="darkGray"/>
        </w:rPr>
        <w:t>authorised</w:t>
      </w:r>
      <w:proofErr w:type="spellEnd"/>
      <w:r w:rsidRPr="00927E75">
        <w:rPr>
          <w:rFonts w:ascii="Verdana" w:eastAsia="Times New Roman" w:hAnsi="Verdana" w:cs="Times New Roman"/>
          <w:color w:val="000000"/>
          <w:highlight w:val="darkGray"/>
        </w:rPr>
        <w:t xml:space="preserve"> for marketing in the EU. </w:t>
      </w:r>
      <w:r w:rsidRPr="00927E75">
        <w:rPr>
          <w:rFonts w:ascii="Verdana" w:eastAsia="Times New Roman" w:hAnsi="Verdana" w:cs="Times New Roman"/>
          <w:color w:val="000000"/>
          <w:highlight w:val="lightGray"/>
        </w:rPr>
        <w:t>The </w:t>
      </w:r>
      <w:hyperlink r:id="rId8" w:tgtFrame="_blank" w:tooltip="The system for regulating medicines in Europe is based on a closely coordinated regulatory network of national competent authorities in the Member States of the European Economic Area working together with the European Medicines Agency and the European Commission. &#13; &#13; More information can be found under 'European medicines regulatory network'." w:history="1">
        <w:r w:rsidRPr="00927E75">
          <w:rPr>
            <w:rFonts w:ascii="Verdana" w:eastAsia="Times New Roman" w:hAnsi="Verdana" w:cs="Times New Roman"/>
            <w:color w:val="000000"/>
            <w:highlight w:val="lightGray"/>
            <w:u w:val="single"/>
          </w:rPr>
          <w:t>European medicines regulatory network</w:t>
        </w:r>
      </w:hyperlink>
      <w:r w:rsidRPr="00927E75">
        <w:rPr>
          <w:rFonts w:ascii="Verdana" w:eastAsia="Times New Roman" w:hAnsi="Verdana" w:cs="Times New Roman"/>
          <w:color w:val="000000"/>
          <w:highlight w:val="lightGray"/>
        </w:rPr>
        <w:t> has established a robust system for monitoring and managing the risks of medicines on the market. Coordinated by EMA, this </w:t>
      </w:r>
      <w:proofErr w:type="spellStart"/>
      <w:r w:rsidR="00927E75" w:rsidRPr="00927E75">
        <w:rPr>
          <w:highlight w:val="lightGray"/>
        </w:rPr>
        <w:fldChar w:fldCharType="begin"/>
      </w:r>
      <w:r w:rsidR="00927E75" w:rsidRPr="00927E75">
        <w:rPr>
          <w:highlight w:val="lightGray"/>
        </w:rPr>
        <w:instrText xml:space="preserve"> HYPERLINK "https://www.ema.europa.eu/en/glossary/pharmacovigilance" \t "_blank" \o "Science and activities relating to the detection, assessment, understanding and prevention of adverse effects or any other medicine-related problem. </w:instrText>
      </w:r>
      <w:r w:rsidR="00927E75" w:rsidRPr="00927E75">
        <w:rPr>
          <w:highlight w:val="lightGray"/>
        </w:rPr>
        <w:cr/>
        <w:instrText xml:space="preserve"> </w:instrText>
      </w:r>
      <w:r w:rsidR="00927E75" w:rsidRPr="00927E75">
        <w:rPr>
          <w:highlight w:val="lightGray"/>
        </w:rPr>
        <w:cr/>
        <w:instrText xml:space="preserve"> More information can be found under 'Pharmacovigilance -  Overview'." </w:instrText>
      </w:r>
      <w:r w:rsidR="00927E75" w:rsidRPr="00927E75">
        <w:rPr>
          <w:highlight w:val="lightGray"/>
        </w:rPr>
        <w:fldChar w:fldCharType="separate"/>
      </w:r>
      <w:r w:rsidRPr="00927E75">
        <w:rPr>
          <w:rFonts w:ascii="Verdana" w:eastAsia="Times New Roman" w:hAnsi="Verdana" w:cs="Times New Roman"/>
          <w:color w:val="000000"/>
          <w:highlight w:val="lightGray"/>
          <w:u w:val="single"/>
        </w:rPr>
        <w:t>pharmacovigilance</w:t>
      </w:r>
      <w:r w:rsidR="00927E75" w:rsidRPr="00927E75">
        <w:rPr>
          <w:rFonts w:ascii="Verdana" w:eastAsia="Times New Roman" w:hAnsi="Verdana" w:cs="Times New Roman"/>
          <w:color w:val="000000"/>
          <w:highlight w:val="lightGray"/>
          <w:u w:val="single"/>
        </w:rPr>
        <w:fldChar w:fldCharType="end"/>
      </w:r>
      <w:r w:rsidRPr="00927E75">
        <w:rPr>
          <w:rFonts w:ascii="Verdana" w:eastAsia="Times New Roman" w:hAnsi="Verdana" w:cs="Times New Roman"/>
          <w:color w:val="000000"/>
          <w:highlight w:val="lightGray"/>
        </w:rPr>
        <w:t>system</w:t>
      </w:r>
      <w:proofErr w:type="spellEnd"/>
      <w:r w:rsidRPr="00927E75">
        <w:rPr>
          <w:rFonts w:ascii="Verdana" w:eastAsia="Times New Roman" w:hAnsi="Verdana" w:cs="Times New Roman"/>
          <w:color w:val="000000"/>
          <w:highlight w:val="lightGray"/>
        </w:rPr>
        <w:t xml:space="preserve"> is designed to enable patients to benefit from medicines while making them as safe as possible.</w:t>
      </w:r>
    </w:p>
    <w:p w14:paraId="67DAD58A" w14:textId="77777777" w:rsidR="00C1550C" w:rsidRPr="00C1550C" w:rsidRDefault="00474B77" w:rsidP="00C1550C">
      <w:pPr>
        <w:spacing w:beforeAutospacing="1" w:afterAutospacing="1"/>
        <w:rPr>
          <w:rFonts w:ascii="Verdana" w:eastAsia="Times New Roman" w:hAnsi="Verdana" w:cs="Times New Roman"/>
          <w:color w:val="000000"/>
        </w:rPr>
      </w:pPr>
      <w:hyperlink r:id="rId9" w:tgtFrame="_blank" w:tooltip="Science and activities relating to the detection, assessment, understanding and prevention of adverse effects or any other medicine-related problem. &#13; &#13; More information can be found under 'Pharmacovigilance -  Overview'." w:history="1">
        <w:r w:rsidR="00C1550C" w:rsidRPr="00BB3C3D">
          <w:rPr>
            <w:rFonts w:ascii="Verdana" w:eastAsia="Times New Roman" w:hAnsi="Verdana" w:cs="Times New Roman"/>
            <w:color w:val="000000"/>
            <w:highlight w:val="lightGray"/>
            <w:u w:val="single"/>
          </w:rPr>
          <w:t>Pharmacovigilance</w:t>
        </w:r>
      </w:hyperlink>
      <w:r w:rsidR="00C1550C" w:rsidRPr="00BB3C3D">
        <w:rPr>
          <w:rFonts w:ascii="Verdana" w:eastAsia="Times New Roman" w:hAnsi="Verdana" w:cs="Times New Roman"/>
          <w:color w:val="000000"/>
          <w:highlight w:val="lightGray"/>
        </w:rPr>
        <w:t> systems across the globe are changing significantly due to technology advancements, increasing volumes of data available to regulators and companies, and increasing engagement of patients in healthcare decision making. In this context, the authors anticipate three major trends in the next ten years.</w:t>
      </w:r>
    </w:p>
    <w:p w14:paraId="513F07D7" w14:textId="77777777" w:rsidR="00C1550C" w:rsidRPr="00C1550C" w:rsidRDefault="00474B77" w:rsidP="00C1550C">
      <w:pPr>
        <w:spacing w:beforeAutospacing="1" w:afterAutospacing="1"/>
        <w:rPr>
          <w:rFonts w:ascii="Verdana" w:eastAsia="Times New Roman" w:hAnsi="Verdana" w:cs="Times New Roman"/>
          <w:color w:val="000000"/>
        </w:rPr>
      </w:pPr>
      <w:hyperlink r:id="rId10" w:tgtFrame="_blank" w:tooltip="A document providing information related to an individual case of a suspected side effect due to a medicine." w:history="1">
        <w:r w:rsidR="00C1550C" w:rsidRPr="00927E75">
          <w:rPr>
            <w:rFonts w:ascii="Verdana" w:eastAsia="Times New Roman" w:hAnsi="Verdana" w:cs="Times New Roman"/>
            <w:color w:val="000000"/>
            <w:highlight w:val="lightGray"/>
            <w:u w:val="single"/>
          </w:rPr>
          <w:t>Individual case safety reports</w:t>
        </w:r>
      </w:hyperlink>
      <w:r w:rsidR="00C1550C" w:rsidRPr="00927E75">
        <w:rPr>
          <w:rFonts w:ascii="Verdana" w:eastAsia="Times New Roman" w:hAnsi="Verdana" w:cs="Times New Roman"/>
          <w:color w:val="000000"/>
          <w:highlight w:val="lightGray"/>
        </w:rPr>
        <w:t> (ICSR) will continue to be a key data source for detecting potential new safety issues and can be further improved. By 2030, ICSR reporting will be much smarter. New technologies such as e-Health applications, as well as ongoing collaboration between the industry and regulators to revise the </w:t>
      </w:r>
      <w:hyperlink r:id="rId11" w:tgtFrame="_self" w:history="1">
        <w:r w:rsidR="00C1550C" w:rsidRPr="00927E75">
          <w:rPr>
            <w:rFonts w:ascii="Verdana" w:eastAsia="Times New Roman" w:hAnsi="Verdana" w:cs="Times New Roman"/>
            <w:color w:val="75197C"/>
            <w:highlight w:val="lightGray"/>
            <w:u w:val="single"/>
          </w:rPr>
          <w:t xml:space="preserve">International Council on </w:t>
        </w:r>
        <w:proofErr w:type="spellStart"/>
        <w:r w:rsidR="00C1550C" w:rsidRPr="00927E75">
          <w:rPr>
            <w:rFonts w:ascii="Verdana" w:eastAsia="Times New Roman" w:hAnsi="Verdana" w:cs="Times New Roman"/>
            <w:color w:val="75197C"/>
            <w:highlight w:val="lightGray"/>
            <w:u w:val="single"/>
          </w:rPr>
          <w:t>Harmonisation</w:t>
        </w:r>
        <w:proofErr w:type="spellEnd"/>
        <w:r w:rsidR="00C1550C" w:rsidRPr="00927E75">
          <w:rPr>
            <w:rFonts w:ascii="Verdana" w:eastAsia="Times New Roman" w:hAnsi="Verdana" w:cs="Times New Roman"/>
            <w:color w:val="75197C"/>
            <w:highlight w:val="lightGray"/>
            <w:u w:val="single"/>
          </w:rPr>
          <w:t xml:space="preserve"> (ICH) guideline E2D on post-approval safety data management</w:t>
        </w:r>
      </w:hyperlink>
      <w:r w:rsidR="00C1550C" w:rsidRPr="00927E75">
        <w:rPr>
          <w:rFonts w:ascii="Verdana" w:eastAsia="Times New Roman" w:hAnsi="Verdana" w:cs="Times New Roman"/>
          <w:color w:val="000000"/>
          <w:highlight w:val="lightGray"/>
        </w:rPr>
        <w:t xml:space="preserve"> provide opportunities to </w:t>
      </w:r>
      <w:proofErr w:type="spellStart"/>
      <w:r w:rsidR="00C1550C" w:rsidRPr="00927E75">
        <w:rPr>
          <w:rFonts w:ascii="Verdana" w:eastAsia="Times New Roman" w:hAnsi="Verdana" w:cs="Times New Roman"/>
          <w:color w:val="000000"/>
          <w:highlight w:val="lightGray"/>
        </w:rPr>
        <w:t>optimise</w:t>
      </w:r>
      <w:proofErr w:type="spellEnd"/>
      <w:r w:rsidR="00C1550C" w:rsidRPr="00927E75">
        <w:rPr>
          <w:rFonts w:ascii="Verdana" w:eastAsia="Times New Roman" w:hAnsi="Verdana" w:cs="Times New Roman"/>
          <w:color w:val="000000"/>
          <w:highlight w:val="lightGray"/>
        </w:rPr>
        <w:t xml:space="preserve"> the collection and management of ICSRs.</w:t>
      </w:r>
    </w:p>
    <w:bookmarkStart w:id="0" w:name="_GoBack"/>
    <w:bookmarkEnd w:id="0"/>
    <w:p w14:paraId="7A1CB4D8" w14:textId="77777777" w:rsidR="00C1550C" w:rsidRPr="00C1550C" w:rsidRDefault="00474B77" w:rsidP="00C1550C">
      <w:pPr>
        <w:spacing w:beforeAutospacing="1" w:afterAutospacing="1"/>
        <w:rPr>
          <w:rFonts w:ascii="Verdana" w:eastAsia="Times New Roman" w:hAnsi="Verdana" w:cs="Times New Roman"/>
          <w:color w:val="000000"/>
        </w:rPr>
      </w:pPr>
      <w:r w:rsidRPr="00BB3C3D">
        <w:rPr>
          <w:rFonts w:ascii="Verdana" w:eastAsia="Times New Roman" w:hAnsi="Verdana" w:cs="Times New Roman"/>
          <w:color w:val="000000"/>
          <w:highlight w:val="lightGray"/>
          <w:u w:val="single"/>
        </w:rPr>
        <w:fldChar w:fldCharType="begin"/>
      </w:r>
      <w:r w:rsidRPr="00BB3C3D">
        <w:rPr>
          <w:rFonts w:ascii="Verdana" w:eastAsia="Times New Roman" w:hAnsi="Verdana" w:cs="Times New Roman"/>
          <w:color w:val="000000"/>
          <w:highlight w:val="lightGray"/>
          <w:u w:val="single"/>
        </w:rPr>
        <w:instrText xml:space="preserve"> HYPERLINK "https://www.ema.europa.eu/en/glossary/pharmacovigilance" \t "_blank" \o "Science and a</w:instrText>
      </w:r>
      <w:r w:rsidRPr="00BB3C3D">
        <w:rPr>
          <w:rFonts w:ascii="Verdana" w:eastAsia="Times New Roman" w:hAnsi="Verdana" w:cs="Times New Roman"/>
          <w:color w:val="000000"/>
          <w:highlight w:val="lightGray"/>
          <w:u w:val="single"/>
        </w:rPr>
        <w:instrText>ctivities relating to the detection, assessment, understanding and prevention of adverse effects or any other medicine-related problem. </w:instrText>
      </w:r>
      <w:r w:rsidRPr="00BB3C3D">
        <w:rPr>
          <w:rFonts w:ascii="Verdana" w:eastAsia="Times New Roman" w:hAnsi="Verdana" w:cs="Times New Roman"/>
          <w:color w:val="000000"/>
          <w:highlight w:val="lightGray"/>
          <w:u w:val="single"/>
        </w:rPr>
        <w:cr/>
        <w:instrText xml:space="preserve"> </w:instrText>
      </w:r>
      <w:r w:rsidRPr="00BB3C3D">
        <w:rPr>
          <w:rFonts w:ascii="Verdana" w:eastAsia="Times New Roman" w:hAnsi="Verdana" w:cs="Times New Roman"/>
          <w:color w:val="000000"/>
          <w:highlight w:val="lightGray"/>
          <w:u w:val="single"/>
        </w:rPr>
        <w:cr/>
        <w:instrText xml:space="preserve"> More information can be found under 'Pharmacovigilance -  Overview'." </w:instrText>
      </w:r>
      <w:r w:rsidRPr="00BB3C3D">
        <w:rPr>
          <w:rFonts w:ascii="Verdana" w:eastAsia="Times New Roman" w:hAnsi="Verdana" w:cs="Times New Roman"/>
          <w:color w:val="000000"/>
          <w:highlight w:val="lightGray"/>
          <w:u w:val="single"/>
        </w:rPr>
        <w:fldChar w:fldCharType="separate"/>
      </w:r>
      <w:r w:rsidR="00C1550C" w:rsidRPr="00BB3C3D">
        <w:rPr>
          <w:rFonts w:ascii="Verdana" w:eastAsia="Times New Roman" w:hAnsi="Verdana" w:cs="Times New Roman"/>
          <w:color w:val="000000"/>
          <w:highlight w:val="lightGray"/>
          <w:u w:val="single"/>
        </w:rPr>
        <w:t>Pharmacovigilance</w:t>
      </w:r>
      <w:r w:rsidRPr="00BB3C3D">
        <w:rPr>
          <w:rFonts w:ascii="Verdana" w:eastAsia="Times New Roman" w:hAnsi="Verdana" w:cs="Times New Roman"/>
          <w:color w:val="000000"/>
          <w:highlight w:val="lightGray"/>
          <w:u w:val="single"/>
        </w:rPr>
        <w:fldChar w:fldCharType="end"/>
      </w:r>
      <w:r w:rsidR="00C1550C" w:rsidRPr="00BB3C3D">
        <w:rPr>
          <w:rFonts w:ascii="Verdana" w:eastAsia="Times New Roman" w:hAnsi="Verdana" w:cs="Times New Roman"/>
          <w:color w:val="000000"/>
          <w:highlight w:val="lightGray"/>
        </w:rPr>
        <w:t> has made great progress in moving from a reactive activity driven solely by spontaneous reports of suspected adverse reactions to a more proactive monitoring activity based on careful planning before the product is placed on the market. By 2030, for key new medicines this monitoring will encompass both the safety and </w:t>
      </w:r>
      <w:hyperlink r:id="rId12" w:tgtFrame="_blank" w:tooltip="The measurement of a medicine's desired effect under ideal conditions, such as in a clinical trial." w:history="1">
        <w:r w:rsidR="00C1550C" w:rsidRPr="00BB3C3D">
          <w:rPr>
            <w:rFonts w:ascii="Verdana" w:eastAsia="Times New Roman" w:hAnsi="Verdana" w:cs="Times New Roman"/>
            <w:color w:val="000000"/>
            <w:highlight w:val="lightGray"/>
            <w:u w:val="single"/>
          </w:rPr>
          <w:t>efficacy</w:t>
        </w:r>
      </w:hyperlink>
      <w:r w:rsidR="00C1550C" w:rsidRPr="00BB3C3D">
        <w:rPr>
          <w:rFonts w:ascii="Verdana" w:eastAsia="Times New Roman" w:hAnsi="Verdana" w:cs="Times New Roman"/>
          <w:color w:val="000000"/>
          <w:highlight w:val="lightGray"/>
        </w:rPr>
        <w:t xml:space="preserve"> of medicines and will </w:t>
      </w:r>
      <w:r w:rsidR="00C1550C" w:rsidRPr="00BB3C3D">
        <w:rPr>
          <w:rFonts w:ascii="Verdana" w:eastAsia="Times New Roman" w:hAnsi="Verdana" w:cs="Times New Roman"/>
          <w:color w:val="000000"/>
          <w:highlight w:val="lightGray"/>
        </w:rPr>
        <w:lastRenderedPageBreak/>
        <w:t xml:space="preserve">facilitate real-time decision-making by regulators to </w:t>
      </w:r>
      <w:proofErr w:type="spellStart"/>
      <w:r w:rsidR="00C1550C" w:rsidRPr="00BB3C3D">
        <w:rPr>
          <w:rFonts w:ascii="Verdana" w:eastAsia="Times New Roman" w:hAnsi="Verdana" w:cs="Times New Roman"/>
          <w:color w:val="000000"/>
          <w:highlight w:val="lightGray"/>
        </w:rPr>
        <w:t>optimise</w:t>
      </w:r>
      <w:proofErr w:type="spellEnd"/>
      <w:r w:rsidR="00C1550C" w:rsidRPr="00BB3C3D">
        <w:rPr>
          <w:rFonts w:ascii="Verdana" w:eastAsia="Times New Roman" w:hAnsi="Verdana" w:cs="Times New Roman"/>
          <w:color w:val="000000"/>
          <w:highlight w:val="lightGray"/>
        </w:rPr>
        <w:t xml:space="preserve"> the safe and effective use of medicines.</w:t>
      </w:r>
      <w:r w:rsidR="00C1550C" w:rsidRPr="00C1550C">
        <w:rPr>
          <w:rFonts w:ascii="Verdana" w:eastAsia="Times New Roman" w:hAnsi="Verdana" w:cs="Times New Roman"/>
          <w:color w:val="000000"/>
        </w:rPr>
        <w:t> </w:t>
      </w:r>
    </w:p>
    <w:p w14:paraId="3A52B855" w14:textId="77777777" w:rsidR="00C1550C" w:rsidRPr="00C1550C" w:rsidRDefault="00C1550C" w:rsidP="00C1550C">
      <w:pPr>
        <w:spacing w:beforeAutospacing="1" w:afterAutospacing="1"/>
        <w:rPr>
          <w:rFonts w:ascii="Verdana" w:eastAsia="Times New Roman" w:hAnsi="Verdana" w:cs="Times New Roman"/>
          <w:color w:val="000000"/>
        </w:rPr>
      </w:pPr>
      <w:r w:rsidRPr="00C1550C">
        <w:rPr>
          <w:rFonts w:ascii="Verdana" w:eastAsia="Times New Roman" w:hAnsi="Verdana" w:cs="Times New Roman"/>
          <w:color w:val="000000"/>
        </w:rPr>
        <w:t xml:space="preserve">In 2030, regulators will dedicate significantly more time to engaging with patients and healthcare professionals and thus ensuring that the information provided to them is impactful. </w:t>
      </w:r>
      <w:r w:rsidRPr="00927E75">
        <w:rPr>
          <w:rFonts w:ascii="Verdana" w:eastAsia="Times New Roman" w:hAnsi="Verdana" w:cs="Times New Roman"/>
          <w:color w:val="000000"/>
          <w:highlight w:val="lightGray"/>
        </w:rPr>
        <w:t>Here the authors highlight the electronic </w:t>
      </w:r>
      <w:hyperlink r:id="rId13"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927E75">
          <w:rPr>
            <w:rFonts w:ascii="Verdana" w:eastAsia="Times New Roman" w:hAnsi="Verdana" w:cs="Times New Roman"/>
            <w:color w:val="000000"/>
            <w:highlight w:val="lightGray"/>
            <w:u w:val="single"/>
          </w:rPr>
          <w:t>product information</w:t>
        </w:r>
      </w:hyperlink>
      <w:r w:rsidRPr="00927E75">
        <w:rPr>
          <w:rFonts w:ascii="Verdana" w:eastAsia="Times New Roman" w:hAnsi="Verdana" w:cs="Times New Roman"/>
          <w:color w:val="000000"/>
          <w:highlight w:val="lightGray"/>
        </w:rPr>
        <w:t>, which will be updated near real-time to support prescription, dispensing, and use of medicines.</w:t>
      </w:r>
    </w:p>
    <w:p w14:paraId="12766415" w14:textId="77777777" w:rsidR="00C1550C" w:rsidRPr="00C1550C" w:rsidRDefault="00C1550C" w:rsidP="00C1550C">
      <w:pPr>
        <w:spacing w:beforeAutospacing="1" w:afterAutospacing="1"/>
        <w:rPr>
          <w:rFonts w:ascii="Verdana" w:eastAsia="Times New Roman" w:hAnsi="Verdana" w:cs="Times New Roman"/>
          <w:color w:val="000000"/>
        </w:rPr>
      </w:pPr>
      <w:r w:rsidRPr="00C1550C">
        <w:rPr>
          <w:rFonts w:ascii="Verdana" w:eastAsia="Times New Roman" w:hAnsi="Verdana" w:cs="Times New Roman"/>
          <w:color w:val="000000"/>
        </w:rPr>
        <w:t>The </w:t>
      </w:r>
      <w:hyperlink r:id="rId14" w:tgtFrame="_blank" w:history="1">
        <w:r w:rsidRPr="00C1550C">
          <w:rPr>
            <w:rFonts w:ascii="Verdana" w:eastAsia="Times New Roman" w:hAnsi="Verdana" w:cs="Times New Roman"/>
            <w:color w:val="75197C"/>
            <w:u w:val="single"/>
          </w:rPr>
          <w:t>article</w:t>
        </w:r>
      </w:hyperlink>
      <w:r w:rsidRPr="00C1550C">
        <w:rPr>
          <w:rFonts w:ascii="Verdana" w:eastAsia="Times New Roman" w:hAnsi="Verdana" w:cs="Times New Roman"/>
          <w:color w:val="000000"/>
        </w:rPr>
        <w:t> is freely available in Clinical Pharmacology and Therapeutics.</w:t>
      </w:r>
    </w:p>
    <w:p w14:paraId="5DDCAD4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AC"/>
    <w:rsid w:val="00422DAC"/>
    <w:rsid w:val="00453EED"/>
    <w:rsid w:val="00474B77"/>
    <w:rsid w:val="00927E75"/>
    <w:rsid w:val="00BB3C3D"/>
    <w:rsid w:val="00BE080D"/>
    <w:rsid w:val="00C1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4698B"/>
  <w14:defaultImageDpi w14:val="32767"/>
  <w15:chartTrackingRefBased/>
  <w15:docId w15:val="{77526B18-8C28-854F-B1F5-461E8C75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55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0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1550C"/>
  </w:style>
  <w:style w:type="character" w:customStyle="1" w:styleId="date-display-single">
    <w:name w:val="date-display-single"/>
    <w:basedOn w:val="DefaultParagraphFont"/>
    <w:rsid w:val="00C1550C"/>
  </w:style>
  <w:style w:type="paragraph" w:styleId="NormalWeb">
    <w:name w:val="Normal (Web)"/>
    <w:basedOn w:val="Normal"/>
    <w:uiPriority w:val="99"/>
    <w:semiHidden/>
    <w:unhideWhenUsed/>
    <w:rsid w:val="00C155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5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817563">
      <w:bodyDiv w:val="1"/>
      <w:marLeft w:val="0"/>
      <w:marRight w:val="0"/>
      <w:marTop w:val="0"/>
      <w:marBottom w:val="0"/>
      <w:divBdr>
        <w:top w:val="none" w:sz="0" w:space="0" w:color="auto"/>
        <w:left w:val="none" w:sz="0" w:space="0" w:color="auto"/>
        <w:bottom w:val="none" w:sz="0" w:space="0" w:color="auto"/>
        <w:right w:val="none" w:sz="0" w:space="0" w:color="auto"/>
      </w:divBdr>
      <w:divsChild>
        <w:div w:id="224875152">
          <w:marLeft w:val="0"/>
          <w:marRight w:val="0"/>
          <w:marTop w:val="0"/>
          <w:marBottom w:val="0"/>
          <w:divBdr>
            <w:top w:val="none" w:sz="0" w:space="0" w:color="auto"/>
            <w:left w:val="none" w:sz="0" w:space="0" w:color="auto"/>
            <w:bottom w:val="none" w:sz="0" w:space="0" w:color="auto"/>
            <w:right w:val="none" w:sz="0" w:space="0" w:color="auto"/>
          </w:divBdr>
          <w:divsChild>
            <w:div w:id="804005067">
              <w:marLeft w:val="0"/>
              <w:marRight w:val="0"/>
              <w:marTop w:val="0"/>
              <w:marBottom w:val="0"/>
              <w:divBdr>
                <w:top w:val="none" w:sz="0" w:space="0" w:color="auto"/>
                <w:left w:val="none" w:sz="0" w:space="0" w:color="auto"/>
                <w:bottom w:val="none" w:sz="0" w:space="0" w:color="auto"/>
                <w:right w:val="none" w:sz="0" w:space="0" w:color="auto"/>
              </w:divBdr>
            </w:div>
          </w:divsChild>
        </w:div>
        <w:div w:id="2033989866">
          <w:marLeft w:val="0"/>
          <w:marRight w:val="0"/>
          <w:marTop w:val="0"/>
          <w:marBottom w:val="0"/>
          <w:divBdr>
            <w:top w:val="none" w:sz="0" w:space="0" w:color="auto"/>
            <w:left w:val="none" w:sz="0" w:space="0" w:color="auto"/>
            <w:bottom w:val="none" w:sz="0" w:space="0" w:color="auto"/>
            <w:right w:val="none" w:sz="0" w:space="0" w:color="auto"/>
          </w:divBdr>
        </w:div>
        <w:div w:id="32124757">
          <w:marLeft w:val="0"/>
          <w:marRight w:val="0"/>
          <w:marTop w:val="0"/>
          <w:marBottom w:val="0"/>
          <w:divBdr>
            <w:top w:val="none" w:sz="0" w:space="0" w:color="auto"/>
            <w:left w:val="none" w:sz="0" w:space="0" w:color="auto"/>
            <w:bottom w:val="none" w:sz="0" w:space="0" w:color="auto"/>
            <w:right w:val="none" w:sz="0" w:space="0" w:color="auto"/>
          </w:divBdr>
          <w:divsChild>
            <w:div w:id="1078213780">
              <w:marLeft w:val="0"/>
              <w:marRight w:val="0"/>
              <w:marTop w:val="0"/>
              <w:marBottom w:val="0"/>
              <w:divBdr>
                <w:top w:val="none" w:sz="0" w:space="0" w:color="auto"/>
                <w:left w:val="none" w:sz="0" w:space="0" w:color="auto"/>
                <w:bottom w:val="none" w:sz="0" w:space="0" w:color="auto"/>
                <w:right w:val="none" w:sz="0" w:space="0" w:color="auto"/>
              </w:divBdr>
              <w:divsChild>
                <w:div w:id="158235251">
                  <w:marLeft w:val="0"/>
                  <w:marRight w:val="0"/>
                  <w:marTop w:val="0"/>
                  <w:marBottom w:val="0"/>
                  <w:divBdr>
                    <w:top w:val="none" w:sz="0" w:space="0" w:color="auto"/>
                    <w:left w:val="none" w:sz="0" w:space="0" w:color="auto"/>
                    <w:bottom w:val="none" w:sz="0" w:space="0" w:color="auto"/>
                    <w:right w:val="none" w:sz="0" w:space="0" w:color="auto"/>
                  </w:divBdr>
                  <w:divsChild>
                    <w:div w:id="1935933807">
                      <w:marLeft w:val="0"/>
                      <w:marRight w:val="0"/>
                      <w:marTop w:val="0"/>
                      <w:marBottom w:val="0"/>
                      <w:divBdr>
                        <w:top w:val="none" w:sz="0" w:space="0" w:color="auto"/>
                        <w:left w:val="none" w:sz="0" w:space="0" w:color="auto"/>
                        <w:bottom w:val="none" w:sz="0" w:space="0" w:color="auto"/>
                        <w:right w:val="none" w:sz="0" w:space="0" w:color="auto"/>
                      </w:divBdr>
                      <w:divsChild>
                        <w:div w:id="1738550975">
                          <w:marLeft w:val="0"/>
                          <w:marRight w:val="0"/>
                          <w:marTop w:val="0"/>
                          <w:marBottom w:val="0"/>
                          <w:divBdr>
                            <w:top w:val="none" w:sz="0" w:space="0" w:color="auto"/>
                            <w:left w:val="none" w:sz="0" w:space="0" w:color="auto"/>
                            <w:bottom w:val="none" w:sz="0" w:space="0" w:color="auto"/>
                            <w:right w:val="none" w:sz="0" w:space="0" w:color="auto"/>
                          </w:divBdr>
                          <w:divsChild>
                            <w:div w:id="1784838632">
                              <w:marLeft w:val="0"/>
                              <w:marRight w:val="0"/>
                              <w:marTop w:val="0"/>
                              <w:marBottom w:val="0"/>
                              <w:divBdr>
                                <w:top w:val="none" w:sz="0" w:space="0" w:color="auto"/>
                                <w:left w:val="none" w:sz="0" w:space="0" w:color="auto"/>
                                <w:bottom w:val="none" w:sz="0" w:space="0" w:color="auto"/>
                                <w:right w:val="none" w:sz="0" w:space="0" w:color="auto"/>
                              </w:divBdr>
                              <w:divsChild>
                                <w:div w:id="256906301">
                                  <w:marLeft w:val="0"/>
                                  <w:marRight w:val="0"/>
                                  <w:marTop w:val="0"/>
                                  <w:marBottom w:val="0"/>
                                  <w:divBdr>
                                    <w:top w:val="none" w:sz="0" w:space="0" w:color="auto"/>
                                    <w:left w:val="none" w:sz="0" w:space="0" w:color="auto"/>
                                    <w:bottom w:val="none" w:sz="0" w:space="0" w:color="auto"/>
                                    <w:right w:val="none" w:sz="0" w:space="0" w:color="auto"/>
                                  </w:divBdr>
                                  <w:divsChild>
                                    <w:div w:id="732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european-medicines-regulatory-network" TargetMode="External"/><Relationship Id="rId13" Type="http://schemas.openxmlformats.org/officeDocument/2006/relationships/hyperlink" Target="https://www.ema.europa.eu/en/glossary/product-information" TargetMode="External"/><Relationship Id="rId3" Type="http://schemas.openxmlformats.org/officeDocument/2006/relationships/webSettings" Target="webSettings.xml"/><Relationship Id="rId7" Type="http://schemas.openxmlformats.org/officeDocument/2006/relationships/hyperlink" Target="https://www.ema.europa.eu/en/glossary/pharmacovigilance" TargetMode="External"/><Relationship Id="rId12" Type="http://schemas.openxmlformats.org/officeDocument/2006/relationships/hyperlink" Target="https://www.ema.europa.eu/en/glossary/efficac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ma.europa.eu/en/glossary/prac" TargetMode="External"/><Relationship Id="rId11" Type="http://schemas.openxmlformats.org/officeDocument/2006/relationships/hyperlink" Target="https://www.ema.europa.eu/en/ich-e2d-post-approval-safety-data-management" TargetMode="External"/><Relationship Id="rId5" Type="http://schemas.openxmlformats.org/officeDocument/2006/relationships/hyperlink" Target="https://ascpt.onlinelibrary.wiley.com/doi/full/10.1002/cpt.1689" TargetMode="External"/><Relationship Id="rId15" Type="http://schemas.openxmlformats.org/officeDocument/2006/relationships/fontTable" Target="fontTable.xml"/><Relationship Id="rId10" Type="http://schemas.openxmlformats.org/officeDocument/2006/relationships/hyperlink" Target="https://www.ema.europa.eu/en/glossary/individual-case-safety-report" TargetMode="External"/><Relationship Id="rId4" Type="http://schemas.openxmlformats.org/officeDocument/2006/relationships/hyperlink" Target="https://www.ema.europa.eu/en/glossary/pharmacovigilance" TargetMode="External"/><Relationship Id="rId9" Type="http://schemas.openxmlformats.org/officeDocument/2006/relationships/hyperlink" Target="https://www.ema.europa.eu/en/glossary/pharmacovigilance" TargetMode="External"/><Relationship Id="rId14" Type="http://schemas.openxmlformats.org/officeDocument/2006/relationships/hyperlink" Target="https://ascpt.onlinelibrary.wiley.com/doi/full/10.1002/cpt.1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2020-02-18T10:38:00Z</dcterms:created>
  <dcterms:modified xsi:type="dcterms:W3CDTF">2020-05-11T09:38:00Z</dcterms:modified>
</cp:coreProperties>
</file>