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A46F5" w14:textId="77777777" w:rsidR="000D1814" w:rsidRPr="000D1814" w:rsidRDefault="000D1814" w:rsidP="000D1814">
      <w:pPr>
        <w:outlineLvl w:val="0"/>
        <w:rPr>
          <w:rFonts w:ascii="Verdana" w:eastAsia="Times New Roman" w:hAnsi="Verdana" w:cs="Times New Roman"/>
          <w:color w:val="000000"/>
          <w:kern w:val="36"/>
          <w:sz w:val="48"/>
          <w:szCs w:val="48"/>
        </w:rPr>
      </w:pPr>
      <w:r w:rsidRPr="000D1814">
        <w:rPr>
          <w:rFonts w:ascii="Verdana" w:eastAsia="Times New Roman" w:hAnsi="Verdana" w:cs="Times New Roman"/>
          <w:color w:val="000000"/>
          <w:kern w:val="36"/>
          <w:sz w:val="48"/>
          <w:szCs w:val="48"/>
        </w:rPr>
        <w:t>Committee for Medicinal Products for Veterinary Use (CVMP) meeting of 3-5 December 2019</w:t>
      </w:r>
    </w:p>
    <w:p w14:paraId="5190E059" w14:textId="77777777" w:rsidR="000D1814" w:rsidRPr="000D1814" w:rsidRDefault="000D1814" w:rsidP="000D1814">
      <w:pPr>
        <w:rPr>
          <w:rFonts w:ascii="Times New Roman" w:eastAsia="Times New Roman" w:hAnsi="Times New Roman" w:cs="Times New Roman"/>
        </w:rPr>
      </w:pPr>
      <w:r w:rsidRPr="000D1814">
        <w:rPr>
          <w:rFonts w:ascii="Verdana" w:eastAsia="Times New Roman" w:hAnsi="Verdana" w:cs="Times New Roman"/>
          <w:color w:val="000000"/>
        </w:rPr>
        <w:t> </w:t>
      </w:r>
    </w:p>
    <w:p w14:paraId="3DFB8AC7" w14:textId="77777777" w:rsidR="000D1814" w:rsidRPr="000D1814" w:rsidRDefault="000D1814" w:rsidP="000D1814">
      <w:pPr>
        <w:rPr>
          <w:rFonts w:ascii="Verdana" w:eastAsia="Times New Roman" w:hAnsi="Verdana" w:cs="Times New Roman"/>
          <w:color w:val="000000"/>
        </w:rPr>
      </w:pPr>
      <w:r w:rsidRPr="000D1814">
        <w:rPr>
          <w:rFonts w:ascii="Verdana" w:eastAsia="Times New Roman" w:hAnsi="Verdana" w:cs="Times New Roman"/>
          <w:color w:val="000000"/>
        </w:rPr>
        <w:t>Share</w:t>
      </w:r>
    </w:p>
    <w:p w14:paraId="7607C2F7" w14:textId="77777777" w:rsidR="000D1814" w:rsidRPr="000D1814" w:rsidRDefault="000D1814" w:rsidP="000D1814">
      <w:pPr>
        <w:rPr>
          <w:rFonts w:ascii="Verdana" w:eastAsia="Times New Roman" w:hAnsi="Verdana" w:cs="Times New Roman"/>
          <w:color w:val="000000"/>
        </w:rPr>
      </w:pPr>
      <w:r w:rsidRPr="000D1814">
        <w:rPr>
          <w:rFonts w:ascii="Verdana" w:eastAsia="Times New Roman" w:hAnsi="Verdana" w:cs="Times New Roman"/>
          <w:color w:val="000000"/>
        </w:rPr>
        <w:t>Press release 06/12/2019</w:t>
      </w:r>
    </w:p>
    <w:p w14:paraId="22CF734C" w14:textId="0506582E" w:rsidR="000D1814" w:rsidRPr="000D1814" w:rsidRDefault="00D81762" w:rsidP="000D1814">
      <w:pPr>
        <w:spacing w:beforeAutospacing="1" w:afterAutospacing="1"/>
        <w:outlineLvl w:val="3"/>
        <w:rPr>
          <w:rFonts w:ascii="Verdana" w:eastAsia="Times New Roman" w:hAnsi="Verdana" w:cs="Times New Roman"/>
          <w:b/>
          <w:bCs/>
          <w:color w:val="404040"/>
        </w:rPr>
      </w:pPr>
      <w:hyperlink r:id="rId5"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000D1814" w:rsidRPr="000D1814">
          <w:rPr>
            <w:rFonts w:ascii="Verdana" w:eastAsia="Times New Roman" w:hAnsi="Verdana" w:cs="Times New Roman"/>
            <w:b/>
            <w:bCs/>
            <w:color w:val="000000"/>
            <w:u w:val="single"/>
          </w:rPr>
          <w:t>CVMP</w:t>
        </w:r>
      </w:hyperlink>
      <w:r w:rsidR="000D1814" w:rsidRPr="000D1814">
        <w:rPr>
          <w:rFonts w:ascii="Verdana" w:eastAsia="Times New Roman" w:hAnsi="Verdana" w:cs="Times New Roman"/>
          <w:b/>
          <w:bCs/>
          <w:color w:val="404040"/>
        </w:rPr>
        <w:t xml:space="preserve"> adopts an updated advice on the </w:t>
      </w:r>
      <w:proofErr w:type="spellStart"/>
      <w:r w:rsidR="000D1814" w:rsidRPr="000D1814">
        <w:rPr>
          <w:rFonts w:ascii="Verdana" w:eastAsia="Times New Roman" w:hAnsi="Verdana" w:cs="Times New Roman"/>
          <w:b/>
          <w:bCs/>
          <w:color w:val="404040"/>
        </w:rPr>
        <w:t>categorisation</w:t>
      </w:r>
      <w:proofErr w:type="spellEnd"/>
      <w:r w:rsidR="000D1814" w:rsidRPr="000D1814">
        <w:rPr>
          <w:rFonts w:ascii="Verdana" w:eastAsia="Times New Roman" w:hAnsi="Verdana" w:cs="Times New Roman"/>
          <w:b/>
          <w:bCs/>
          <w:color w:val="404040"/>
        </w:rPr>
        <w:t xml:space="preserve"> of antibiotics in the</w:t>
      </w:r>
      <w:r>
        <w:rPr>
          <w:rFonts w:ascii="Verdana" w:eastAsia="Times New Roman" w:hAnsi="Verdana" w:cs="Times New Roman"/>
          <w:b/>
          <w:bCs/>
          <w:color w:val="404040"/>
        </w:rPr>
        <w:t xml:space="preserve"> </w:t>
      </w:r>
      <w:bookmarkStart w:id="0" w:name="_GoBack"/>
      <w:bookmarkEnd w:id="0"/>
      <w:r w:rsidR="000D1814" w:rsidRPr="000D1814">
        <w:rPr>
          <w:rFonts w:ascii="Verdana" w:eastAsia="Times New Roman" w:hAnsi="Verdana" w:cs="Times New Roman"/>
          <w:b/>
          <w:bCs/>
          <w:color w:val="404040"/>
        </w:rPr>
        <w:t>European Union, and recommendations on the use of live attenuated PRRSV vaccines</w:t>
      </w:r>
    </w:p>
    <w:p w14:paraId="0B86DDF0" w14:textId="77777777" w:rsidR="000D1814" w:rsidRPr="000D1814" w:rsidRDefault="000D1814" w:rsidP="000D1814">
      <w:pPr>
        <w:spacing w:before="100" w:beforeAutospacing="1" w:after="100" w:afterAutospacing="1"/>
        <w:outlineLvl w:val="3"/>
        <w:rPr>
          <w:rFonts w:ascii="Verdana" w:eastAsia="Times New Roman" w:hAnsi="Verdana" w:cs="Times New Roman"/>
          <w:b/>
          <w:bCs/>
          <w:color w:val="404040"/>
        </w:rPr>
      </w:pPr>
      <w:r w:rsidRPr="000D1814">
        <w:rPr>
          <w:rFonts w:ascii="Verdana" w:eastAsia="Times New Roman" w:hAnsi="Verdana" w:cs="Times New Roman"/>
          <w:b/>
          <w:bCs/>
          <w:color w:val="404040"/>
        </w:rPr>
        <w:t>CVMP opinions on veterinary medicinal products</w:t>
      </w:r>
    </w:p>
    <w:p w14:paraId="4FFD03EC"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Committee adopted by consensus a positive opinion for a grouped </w:t>
      </w:r>
      <w:hyperlink r:id="rId6" w:tgtFrame="_blank" w:tooltip="A major change to a marketing authorisation that may have a significant impact on the quality, safety or efficacy of a medicine, but does not involve a change to the active substance, its strength or the route of administration. Type II variations require a formal approval. For more information, see type II variations -  questions and answers." w:history="1">
        <w:r w:rsidRPr="000D1814">
          <w:rPr>
            <w:rFonts w:ascii="Verdana" w:eastAsia="Times New Roman" w:hAnsi="Verdana" w:cs="Times New Roman"/>
            <w:color w:val="000000"/>
            <w:u w:val="single"/>
          </w:rPr>
          <w:t>type II variation</w:t>
        </w:r>
      </w:hyperlink>
      <w:r w:rsidRPr="000D1814">
        <w:rPr>
          <w:rFonts w:ascii="Verdana" w:eastAsia="Times New Roman" w:hAnsi="Verdana" w:cs="Times New Roman"/>
          <w:color w:val="000000"/>
        </w:rPr>
        <w:t> application for </w:t>
      </w:r>
      <w:proofErr w:type="spellStart"/>
      <w:r w:rsidRPr="000D1814">
        <w:rPr>
          <w:rFonts w:ascii="Verdana" w:eastAsia="Times New Roman" w:hAnsi="Verdana" w:cs="Times New Roman"/>
          <w:b/>
          <w:bCs/>
          <w:color w:val="000000"/>
        </w:rPr>
        <w:t>Onsior</w:t>
      </w:r>
      <w:r w:rsidRPr="000D1814">
        <w:rPr>
          <w:rFonts w:ascii="Verdana" w:eastAsia="Times New Roman" w:hAnsi="Verdana" w:cs="Times New Roman"/>
          <w:color w:val="000000"/>
        </w:rPr>
        <w:t>to</w:t>
      </w:r>
      <w:proofErr w:type="spellEnd"/>
      <w:r w:rsidRPr="000D1814">
        <w:rPr>
          <w:rFonts w:ascii="Verdana" w:eastAsia="Times New Roman" w:hAnsi="Verdana" w:cs="Times New Roman"/>
          <w:color w:val="000000"/>
        </w:rPr>
        <w:t xml:space="preserve"> add a new therapeutic </w:t>
      </w:r>
      <w:hyperlink r:id="rId7" w:tgtFrame="_blank" w:tooltip="A medical condition that a medicine is used for. This can include the treatment, prevention and diagnosis of a disease." w:history="1">
        <w:r w:rsidRPr="000D1814">
          <w:rPr>
            <w:rFonts w:ascii="Verdana" w:eastAsia="Times New Roman" w:hAnsi="Verdana" w:cs="Times New Roman"/>
            <w:color w:val="000000"/>
            <w:u w:val="single"/>
          </w:rPr>
          <w:t>indication</w:t>
        </w:r>
      </w:hyperlink>
      <w:r w:rsidRPr="000D1814">
        <w:rPr>
          <w:rFonts w:ascii="Verdana" w:eastAsia="Times New Roman" w:hAnsi="Verdana" w:cs="Times New Roman"/>
          <w:color w:val="000000"/>
        </w:rPr>
        <w:t> for the treatment of pain and inflammation associated with soft tissue surgery in dogs and to amend the </w:t>
      </w:r>
      <w:hyperlink r:id="rId8"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0D1814">
          <w:rPr>
            <w:rFonts w:ascii="Verdana" w:eastAsia="Times New Roman" w:hAnsi="Verdana" w:cs="Times New Roman"/>
            <w:color w:val="000000"/>
            <w:u w:val="single"/>
          </w:rPr>
          <w:t>product information</w:t>
        </w:r>
      </w:hyperlink>
      <w:r w:rsidRPr="000D1814">
        <w:rPr>
          <w:rFonts w:ascii="Verdana" w:eastAsia="Times New Roman" w:hAnsi="Verdana" w:cs="Times New Roman"/>
          <w:color w:val="000000"/>
        </w:rPr>
        <w:t> due to new clinical data. The Committee also adopted by consensus a positive opinion for a grouped </w:t>
      </w:r>
      <w:hyperlink r:id="rId9" w:tgtFrame="_blank" w:tooltip="A major change to a marketing authorisation that may have a significant impact on the quality, safety or efficacy of a medicine, but does not involve a change to the active substance, its strength or the route of administration. Type II variations require a formal approval. For more information, see type II variations -  questions and answers." w:history="1">
        <w:r w:rsidRPr="000D1814">
          <w:rPr>
            <w:rFonts w:ascii="Verdana" w:eastAsia="Times New Roman" w:hAnsi="Verdana" w:cs="Times New Roman"/>
            <w:color w:val="000000"/>
            <w:u w:val="single"/>
          </w:rPr>
          <w:t>type II variation</w:t>
        </w:r>
      </w:hyperlink>
      <w:r w:rsidRPr="000D1814">
        <w:rPr>
          <w:rFonts w:ascii="Verdana" w:eastAsia="Times New Roman" w:hAnsi="Verdana" w:cs="Times New Roman"/>
          <w:color w:val="000000"/>
        </w:rPr>
        <w:t> application for </w:t>
      </w:r>
      <w:proofErr w:type="spellStart"/>
      <w:r w:rsidRPr="000D1814">
        <w:rPr>
          <w:rFonts w:ascii="Verdana" w:eastAsia="Times New Roman" w:hAnsi="Verdana" w:cs="Times New Roman"/>
          <w:b/>
          <w:bCs/>
          <w:color w:val="000000"/>
        </w:rPr>
        <w:t>Eravac</w:t>
      </w:r>
      <w:proofErr w:type="spellEnd"/>
      <w:r w:rsidRPr="000D1814">
        <w:rPr>
          <w:rFonts w:ascii="Verdana" w:eastAsia="Times New Roman" w:hAnsi="Verdana" w:cs="Times New Roman"/>
          <w:b/>
          <w:bCs/>
          <w:color w:val="000000"/>
        </w:rPr>
        <w:t> </w:t>
      </w:r>
      <w:r w:rsidRPr="000D1814">
        <w:rPr>
          <w:rFonts w:ascii="Verdana" w:eastAsia="Times New Roman" w:hAnsi="Verdana" w:cs="Times New Roman"/>
          <w:color w:val="000000"/>
        </w:rPr>
        <w:t>to extend the duration of immunity from 9 to 12 months. The Committee also adopted by consensus positive opinions for grouped </w:t>
      </w:r>
      <w:hyperlink r:id="rId10" w:tgtFrame="_blank" w:tooltip="A major change to a marketing authorisation that may have a significant impact on the quality, safety or efficacy of a medicine, but does not involve a change to the active substance, its strength or the route of administration. Type II variations require a formal approval. For more information, see type II variations -  questions and answers." w:history="1">
        <w:r w:rsidRPr="000D1814">
          <w:rPr>
            <w:rFonts w:ascii="Verdana" w:eastAsia="Times New Roman" w:hAnsi="Verdana" w:cs="Times New Roman"/>
            <w:color w:val="000000"/>
            <w:u w:val="single"/>
          </w:rPr>
          <w:t>type II variation</w:t>
        </w:r>
      </w:hyperlink>
      <w:r w:rsidRPr="000D1814">
        <w:rPr>
          <w:rFonts w:ascii="Verdana" w:eastAsia="Times New Roman" w:hAnsi="Verdana" w:cs="Times New Roman"/>
          <w:color w:val="000000"/>
        </w:rPr>
        <w:t> applications for </w:t>
      </w:r>
      <w:proofErr w:type="spellStart"/>
      <w:r w:rsidRPr="000D1814">
        <w:rPr>
          <w:rFonts w:ascii="Verdana" w:eastAsia="Times New Roman" w:hAnsi="Verdana" w:cs="Times New Roman"/>
          <w:b/>
          <w:bCs/>
          <w:color w:val="000000"/>
        </w:rPr>
        <w:t>Apoquel</w:t>
      </w:r>
      <w:proofErr w:type="spellEnd"/>
      <w:r w:rsidRPr="000D1814">
        <w:rPr>
          <w:rFonts w:ascii="Verdana" w:eastAsia="Times New Roman" w:hAnsi="Verdana" w:cs="Times New Roman"/>
          <w:color w:val="000000"/>
        </w:rPr>
        <w:t>, </w:t>
      </w:r>
      <w:proofErr w:type="spellStart"/>
      <w:r w:rsidRPr="000D1814">
        <w:rPr>
          <w:rFonts w:ascii="Verdana" w:eastAsia="Times New Roman" w:hAnsi="Verdana" w:cs="Times New Roman"/>
          <w:b/>
          <w:bCs/>
          <w:color w:val="000000"/>
        </w:rPr>
        <w:t>Circovac</w:t>
      </w:r>
      <w:proofErr w:type="spellEnd"/>
      <w:r w:rsidRPr="000D1814">
        <w:rPr>
          <w:rFonts w:ascii="Verdana" w:eastAsia="Times New Roman" w:hAnsi="Verdana" w:cs="Times New Roman"/>
          <w:b/>
          <w:bCs/>
          <w:color w:val="000000"/>
        </w:rPr>
        <w:t> </w:t>
      </w:r>
      <w:r w:rsidRPr="000D1814">
        <w:rPr>
          <w:rFonts w:ascii="Verdana" w:eastAsia="Times New Roman" w:hAnsi="Verdana" w:cs="Times New Roman"/>
          <w:color w:val="000000"/>
        </w:rPr>
        <w:t>and </w:t>
      </w:r>
      <w:proofErr w:type="spellStart"/>
      <w:r w:rsidRPr="000D1814">
        <w:rPr>
          <w:rFonts w:ascii="Verdana" w:eastAsia="Times New Roman" w:hAnsi="Verdana" w:cs="Times New Roman"/>
          <w:b/>
          <w:bCs/>
          <w:color w:val="000000"/>
        </w:rPr>
        <w:t>Zactran</w:t>
      </w:r>
      <w:proofErr w:type="spellEnd"/>
      <w:r w:rsidRPr="000D1814">
        <w:rPr>
          <w:rFonts w:ascii="Verdana" w:eastAsia="Times New Roman" w:hAnsi="Verdana" w:cs="Times New Roman"/>
          <w:color w:val="000000"/>
        </w:rPr>
        <w:t> concerning quality-related changes.</w:t>
      </w:r>
    </w:p>
    <w:p w14:paraId="388C565E"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Committee adopted by consensus a positive opinion for a </w:t>
      </w:r>
      <w:hyperlink r:id="rId11" w:tgtFrame="_blank" w:tooltip="A major change to a marketing authorisation that may have a significant impact on the quality, safety or efficacy of a medicine, but does not involve a change to the active substance, its strength or the route of administration. Type II variations require a formal approval. For more information, see type II variations -  questions and answers." w:history="1">
        <w:r w:rsidRPr="000D1814">
          <w:rPr>
            <w:rFonts w:ascii="Verdana" w:eastAsia="Times New Roman" w:hAnsi="Verdana" w:cs="Times New Roman"/>
            <w:color w:val="000000"/>
            <w:u w:val="single"/>
          </w:rPr>
          <w:t>type II variation</w:t>
        </w:r>
      </w:hyperlink>
      <w:r w:rsidRPr="000D1814">
        <w:rPr>
          <w:rFonts w:ascii="Verdana" w:eastAsia="Times New Roman" w:hAnsi="Verdana" w:cs="Times New Roman"/>
          <w:color w:val="000000"/>
        </w:rPr>
        <w:t> application for </w:t>
      </w:r>
      <w:r w:rsidRPr="000D1814">
        <w:rPr>
          <w:rFonts w:ascii="Verdana" w:eastAsia="Times New Roman" w:hAnsi="Verdana" w:cs="Times New Roman"/>
          <w:b/>
          <w:bCs/>
          <w:color w:val="000000"/>
        </w:rPr>
        <w:t>Nobilis IB 4-91 </w:t>
      </w:r>
      <w:r w:rsidRPr="000D1814">
        <w:rPr>
          <w:rFonts w:ascii="Verdana" w:eastAsia="Times New Roman" w:hAnsi="Verdana" w:cs="Times New Roman"/>
          <w:color w:val="000000"/>
        </w:rPr>
        <w:t xml:space="preserve">to include the claim for associated non-mixed use with </w:t>
      </w:r>
      <w:proofErr w:type="spellStart"/>
      <w:r w:rsidRPr="000D1814">
        <w:rPr>
          <w:rFonts w:ascii="Verdana" w:eastAsia="Times New Roman" w:hAnsi="Verdana" w:cs="Times New Roman"/>
          <w:color w:val="000000"/>
        </w:rPr>
        <w:t>Innovax</w:t>
      </w:r>
      <w:proofErr w:type="spellEnd"/>
      <w:r w:rsidRPr="000D1814">
        <w:rPr>
          <w:rFonts w:ascii="Verdana" w:eastAsia="Times New Roman" w:hAnsi="Verdana" w:cs="Times New Roman"/>
          <w:color w:val="000000"/>
        </w:rPr>
        <w:t>-ND-IBD and to update the </w:t>
      </w:r>
      <w:hyperlink r:id="rId12"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0D1814">
          <w:rPr>
            <w:rFonts w:ascii="Verdana" w:eastAsia="Times New Roman" w:hAnsi="Verdana" w:cs="Times New Roman"/>
            <w:color w:val="000000"/>
            <w:u w:val="single"/>
          </w:rPr>
          <w:t>product information</w:t>
        </w:r>
      </w:hyperlink>
      <w:r w:rsidRPr="000D1814">
        <w:rPr>
          <w:rFonts w:ascii="Verdana" w:eastAsia="Times New Roman" w:hAnsi="Verdana" w:cs="Times New Roman"/>
          <w:color w:val="000000"/>
        </w:rPr>
        <w:t>. The Committee also adopted by consensus positive opinions for </w:t>
      </w:r>
      <w:hyperlink r:id="rId13" w:tgtFrame="_blank" w:tooltip="A major change to a marketing authorisation that may have a significant impact on the quality, safety or efficacy of a medicine, but does not involve a change to the active substance, its strength or the route of administration. Type II variations require a formal approval. For more information, see type II variations -  questions and answers." w:history="1">
        <w:r w:rsidRPr="000D1814">
          <w:rPr>
            <w:rFonts w:ascii="Verdana" w:eastAsia="Times New Roman" w:hAnsi="Verdana" w:cs="Times New Roman"/>
            <w:color w:val="000000"/>
            <w:u w:val="single"/>
          </w:rPr>
          <w:t>type II variation</w:t>
        </w:r>
      </w:hyperlink>
      <w:r w:rsidRPr="000D1814">
        <w:rPr>
          <w:rFonts w:ascii="Verdana" w:eastAsia="Times New Roman" w:hAnsi="Verdana" w:cs="Times New Roman"/>
          <w:color w:val="000000"/>
        </w:rPr>
        <w:t> applications for </w:t>
      </w:r>
      <w:proofErr w:type="spellStart"/>
      <w:r w:rsidRPr="000D1814">
        <w:rPr>
          <w:rFonts w:ascii="Verdana" w:eastAsia="Times New Roman" w:hAnsi="Verdana" w:cs="Times New Roman"/>
          <w:b/>
          <w:bCs/>
          <w:color w:val="000000"/>
        </w:rPr>
        <w:t>Zulvac</w:t>
      </w:r>
      <w:proofErr w:type="spellEnd"/>
      <w:r w:rsidRPr="000D1814">
        <w:rPr>
          <w:rFonts w:ascii="Verdana" w:eastAsia="Times New Roman" w:hAnsi="Verdana" w:cs="Times New Roman"/>
          <w:b/>
          <w:bCs/>
          <w:color w:val="000000"/>
        </w:rPr>
        <w:t xml:space="preserve"> SBV </w:t>
      </w:r>
      <w:r w:rsidRPr="000D1814">
        <w:rPr>
          <w:rFonts w:ascii="Verdana" w:eastAsia="Times New Roman" w:hAnsi="Verdana" w:cs="Times New Roman"/>
          <w:color w:val="000000"/>
        </w:rPr>
        <w:t>and for</w:t>
      </w:r>
      <w:r w:rsidRPr="000D1814">
        <w:rPr>
          <w:rFonts w:ascii="Verdana" w:eastAsia="Times New Roman" w:hAnsi="Verdana" w:cs="Times New Roman"/>
          <w:b/>
          <w:bCs/>
          <w:color w:val="000000"/>
        </w:rPr>
        <w:t> </w:t>
      </w:r>
      <w:proofErr w:type="spellStart"/>
      <w:r w:rsidRPr="000D1814">
        <w:rPr>
          <w:rFonts w:ascii="Verdana" w:eastAsia="Times New Roman" w:hAnsi="Verdana" w:cs="Times New Roman"/>
          <w:b/>
          <w:bCs/>
          <w:color w:val="000000"/>
        </w:rPr>
        <w:t>Innovax</w:t>
      </w:r>
      <w:proofErr w:type="spellEnd"/>
      <w:r w:rsidRPr="000D1814">
        <w:rPr>
          <w:rFonts w:ascii="Verdana" w:eastAsia="Times New Roman" w:hAnsi="Verdana" w:cs="Times New Roman"/>
          <w:b/>
          <w:bCs/>
          <w:color w:val="000000"/>
        </w:rPr>
        <w:t xml:space="preserve"> ILT</w:t>
      </w:r>
      <w:r w:rsidRPr="000D1814">
        <w:rPr>
          <w:rFonts w:ascii="Verdana" w:eastAsia="Times New Roman" w:hAnsi="Verdana" w:cs="Times New Roman"/>
          <w:color w:val="000000"/>
        </w:rPr>
        <w:t>, both concerning quality-related changes.</w:t>
      </w:r>
    </w:p>
    <w:p w14:paraId="7ADA219F"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Committee adopted by consensus positive opinions for </w:t>
      </w:r>
      <w:hyperlink r:id="rId14" w:tgtFrame="_blank" w:tooltip="A major change to a marketing authorisation that may have a significant impact on the quality, safety or efficacy of a medicine, but does not involve a change to the active substance, its strength or the route of administration. Type II variations require a formal approval. For more information, see type II variations -  questions and answers." w:history="1">
        <w:r w:rsidRPr="000D1814">
          <w:rPr>
            <w:rFonts w:ascii="Verdana" w:eastAsia="Times New Roman" w:hAnsi="Verdana" w:cs="Times New Roman"/>
            <w:color w:val="000000"/>
            <w:u w:val="single"/>
          </w:rPr>
          <w:t>type II variation</w:t>
        </w:r>
      </w:hyperlink>
      <w:r w:rsidRPr="000D1814">
        <w:rPr>
          <w:rFonts w:ascii="Verdana" w:eastAsia="Times New Roman" w:hAnsi="Verdana" w:cs="Times New Roman"/>
          <w:color w:val="000000"/>
        </w:rPr>
        <w:t> applications (subject to </w:t>
      </w:r>
      <w:proofErr w:type="spellStart"/>
      <w:r w:rsidR="00D81762">
        <w:rPr>
          <w:rFonts w:ascii="Verdana" w:eastAsia="Times New Roman" w:hAnsi="Verdana" w:cs="Times New Roman"/>
          <w:color w:val="000000"/>
          <w:u w:val="single"/>
        </w:rPr>
        <w:fldChar w:fldCharType="begin"/>
      </w:r>
      <w:r w:rsidR="00D81762">
        <w:rPr>
          <w:rFonts w:ascii="Verdana" w:eastAsia="Times New Roman" w:hAnsi="Verdana" w:cs="Times New Roman"/>
          <w:color w:val="000000"/>
          <w:u w:val="single"/>
        </w:rPr>
        <w:instrText xml:space="preserve"> HYPERLINK "https://www.ema.europa.eu/en/glossary/worksharing" \t "_blank" \o "The submission of a single </w:instrText>
      </w:r>
      <w:r w:rsidR="00D81762">
        <w:rPr>
          <w:rFonts w:ascii="Verdana" w:eastAsia="Times New Roman" w:hAnsi="Verdana" w:cs="Times New Roman"/>
          <w:color w:val="000000"/>
          <w:u w:val="single"/>
        </w:rPr>
        <w:instrText>application for a variation that affects more than one marketing authorisation from the same marketing authorisation holder. </w:instrText>
      </w:r>
      <w:r w:rsidR="00D81762">
        <w:rPr>
          <w:rFonts w:ascii="Verdana" w:eastAsia="Times New Roman" w:hAnsi="Verdana" w:cs="Times New Roman"/>
          <w:color w:val="000000"/>
          <w:u w:val="single"/>
        </w:rPr>
        <w:cr/>
        <w:instrText xml:space="preserve"> </w:instrText>
      </w:r>
      <w:r w:rsidR="00D81762">
        <w:rPr>
          <w:rFonts w:ascii="Verdana" w:eastAsia="Times New Roman" w:hAnsi="Verdana" w:cs="Times New Roman"/>
          <w:color w:val="000000"/>
          <w:u w:val="single"/>
        </w:rPr>
        <w:cr/>
        <w:instrText xml:space="preserve"> More information can be found under 'Worksharing -  questions and answers'." </w:instrText>
      </w:r>
      <w:r w:rsidR="00D81762">
        <w:rPr>
          <w:rFonts w:ascii="Verdana" w:eastAsia="Times New Roman" w:hAnsi="Verdana" w:cs="Times New Roman"/>
          <w:color w:val="000000"/>
          <w:u w:val="single"/>
        </w:rPr>
        <w:fldChar w:fldCharType="separate"/>
      </w:r>
      <w:r w:rsidRPr="000D1814">
        <w:rPr>
          <w:rFonts w:ascii="Verdana" w:eastAsia="Times New Roman" w:hAnsi="Verdana" w:cs="Times New Roman"/>
          <w:color w:val="000000"/>
          <w:u w:val="single"/>
        </w:rPr>
        <w:t>worksharing</w:t>
      </w:r>
      <w:proofErr w:type="spellEnd"/>
      <w:r w:rsidR="00D81762">
        <w:rPr>
          <w:rFonts w:ascii="Verdana" w:eastAsia="Times New Roman" w:hAnsi="Verdana" w:cs="Times New Roman"/>
          <w:color w:val="000000"/>
          <w:u w:val="single"/>
        </w:rPr>
        <w:fldChar w:fldCharType="end"/>
      </w:r>
      <w:r w:rsidRPr="000D1814">
        <w:rPr>
          <w:rFonts w:ascii="Verdana" w:eastAsia="Times New Roman" w:hAnsi="Verdana" w:cs="Times New Roman"/>
          <w:color w:val="000000"/>
        </w:rPr>
        <w:t> procedures) for </w:t>
      </w:r>
      <w:proofErr w:type="spellStart"/>
      <w:r w:rsidRPr="000D1814">
        <w:rPr>
          <w:rFonts w:ascii="Verdana" w:eastAsia="Times New Roman" w:hAnsi="Verdana" w:cs="Times New Roman"/>
          <w:b/>
          <w:bCs/>
          <w:color w:val="000000"/>
        </w:rPr>
        <w:t>Simparica</w:t>
      </w:r>
      <w:proofErr w:type="spellEnd"/>
      <w:r w:rsidRPr="000D1814">
        <w:rPr>
          <w:rFonts w:ascii="Verdana" w:eastAsia="Times New Roman" w:hAnsi="Verdana" w:cs="Times New Roman"/>
          <w:b/>
          <w:bCs/>
          <w:color w:val="000000"/>
        </w:rPr>
        <w:t> </w:t>
      </w:r>
      <w:r w:rsidRPr="000D1814">
        <w:rPr>
          <w:rFonts w:ascii="Verdana" w:eastAsia="Times New Roman" w:hAnsi="Verdana" w:cs="Times New Roman"/>
          <w:color w:val="000000"/>
        </w:rPr>
        <w:t>and </w:t>
      </w:r>
      <w:proofErr w:type="spellStart"/>
      <w:r w:rsidRPr="000D1814">
        <w:rPr>
          <w:rFonts w:ascii="Verdana" w:eastAsia="Times New Roman" w:hAnsi="Verdana" w:cs="Times New Roman"/>
          <w:b/>
          <w:bCs/>
          <w:color w:val="000000"/>
        </w:rPr>
        <w:t>MiPet</w:t>
      </w:r>
      <w:proofErr w:type="spellEnd"/>
      <w:r w:rsidRPr="000D1814">
        <w:rPr>
          <w:rFonts w:ascii="Verdana" w:eastAsia="Times New Roman" w:hAnsi="Verdana" w:cs="Times New Roman"/>
          <w:b/>
          <w:bCs/>
          <w:color w:val="000000"/>
        </w:rPr>
        <w:t xml:space="preserve"> </w:t>
      </w:r>
      <w:proofErr w:type="spellStart"/>
      <w:r w:rsidRPr="000D1814">
        <w:rPr>
          <w:rFonts w:ascii="Verdana" w:eastAsia="Times New Roman" w:hAnsi="Verdana" w:cs="Times New Roman"/>
          <w:b/>
          <w:bCs/>
          <w:color w:val="000000"/>
        </w:rPr>
        <w:t>Easecto</w:t>
      </w:r>
      <w:proofErr w:type="spellEnd"/>
      <w:r w:rsidRPr="000D1814">
        <w:rPr>
          <w:rFonts w:ascii="Verdana" w:eastAsia="Times New Roman" w:hAnsi="Verdana" w:cs="Times New Roman"/>
          <w:color w:val="000000"/>
        </w:rPr>
        <w:t>, and for</w:t>
      </w:r>
      <w:r w:rsidRPr="000D1814">
        <w:rPr>
          <w:rFonts w:ascii="Verdana" w:eastAsia="Times New Roman" w:hAnsi="Verdana" w:cs="Times New Roman"/>
          <w:b/>
          <w:bCs/>
          <w:color w:val="000000"/>
        </w:rPr>
        <w:t> </w:t>
      </w:r>
      <w:proofErr w:type="spellStart"/>
      <w:r w:rsidRPr="000D1814">
        <w:rPr>
          <w:rFonts w:ascii="Verdana" w:eastAsia="Times New Roman" w:hAnsi="Verdana" w:cs="Times New Roman"/>
          <w:b/>
          <w:bCs/>
          <w:color w:val="000000"/>
        </w:rPr>
        <w:t>Bravecto</w:t>
      </w:r>
      <w:proofErr w:type="spellEnd"/>
      <w:r w:rsidRPr="000D1814">
        <w:rPr>
          <w:rFonts w:ascii="Verdana" w:eastAsia="Times New Roman" w:hAnsi="Verdana" w:cs="Times New Roman"/>
          <w:b/>
          <w:bCs/>
          <w:color w:val="000000"/>
        </w:rPr>
        <w:t> </w:t>
      </w:r>
      <w:r w:rsidRPr="000D1814">
        <w:rPr>
          <w:rFonts w:ascii="Verdana" w:eastAsia="Times New Roman" w:hAnsi="Verdana" w:cs="Times New Roman"/>
          <w:color w:val="000000"/>
        </w:rPr>
        <w:t>and </w:t>
      </w:r>
      <w:proofErr w:type="spellStart"/>
      <w:r w:rsidRPr="000D1814">
        <w:rPr>
          <w:rFonts w:ascii="Verdana" w:eastAsia="Times New Roman" w:hAnsi="Verdana" w:cs="Times New Roman"/>
          <w:b/>
          <w:bCs/>
          <w:color w:val="000000"/>
        </w:rPr>
        <w:t>Bravecto</w:t>
      </w:r>
      <w:proofErr w:type="spellEnd"/>
      <w:r w:rsidRPr="000D1814">
        <w:rPr>
          <w:rFonts w:ascii="Verdana" w:eastAsia="Times New Roman" w:hAnsi="Verdana" w:cs="Times New Roman"/>
          <w:b/>
          <w:bCs/>
          <w:color w:val="000000"/>
        </w:rPr>
        <w:t xml:space="preserve"> Plus</w:t>
      </w:r>
      <w:r w:rsidRPr="000D1814">
        <w:rPr>
          <w:rFonts w:ascii="Verdana" w:eastAsia="Times New Roman" w:hAnsi="Verdana" w:cs="Times New Roman"/>
          <w:color w:val="000000"/>
        </w:rPr>
        <w:t>, both concerning quality-related changes.</w:t>
      </w:r>
    </w:p>
    <w:p w14:paraId="1D48C9EC"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Committee adopted by consensus a negative final opinion for a </w:t>
      </w:r>
      <w:hyperlink r:id="rId15" w:tgtFrame="_blank" w:tooltip="A major change to a marketing authorisation that may have a significant impact on the quality, safety or efficacy of a medicine, but does not involve a change to the active substance, its strength or the route of administration. Type II variations require a formal approval. For more information, see type II variations -  questions and answers." w:history="1">
        <w:r w:rsidRPr="000D1814">
          <w:rPr>
            <w:rFonts w:ascii="Verdana" w:eastAsia="Times New Roman" w:hAnsi="Verdana" w:cs="Times New Roman"/>
            <w:color w:val="000000"/>
            <w:u w:val="single"/>
          </w:rPr>
          <w:t>type II variation</w:t>
        </w:r>
      </w:hyperlink>
      <w:r w:rsidRPr="000D1814">
        <w:rPr>
          <w:rFonts w:ascii="Verdana" w:eastAsia="Times New Roman" w:hAnsi="Verdana" w:cs="Times New Roman"/>
          <w:color w:val="000000"/>
        </w:rPr>
        <w:t> application for </w:t>
      </w:r>
      <w:proofErr w:type="spellStart"/>
      <w:r w:rsidRPr="000D1814">
        <w:rPr>
          <w:rFonts w:ascii="Verdana" w:eastAsia="Times New Roman" w:hAnsi="Verdana" w:cs="Times New Roman"/>
          <w:b/>
          <w:bCs/>
          <w:color w:val="000000"/>
        </w:rPr>
        <w:t>Velactis</w:t>
      </w:r>
      <w:proofErr w:type="spellEnd"/>
      <w:r w:rsidRPr="000D1814">
        <w:rPr>
          <w:rFonts w:ascii="Verdana" w:eastAsia="Times New Roman" w:hAnsi="Verdana" w:cs="Times New Roman"/>
          <w:color w:val="000000"/>
        </w:rPr>
        <w:t>, further to the </w:t>
      </w:r>
      <w:hyperlink r:id="rId16" w:tgtFrame="_blank" w:tooltip="A review of an opinion by a scientific committee of the Agency, triggered at the request of the applicant." w:history="1">
        <w:r w:rsidRPr="000D1814">
          <w:rPr>
            <w:rFonts w:ascii="Verdana" w:eastAsia="Times New Roman" w:hAnsi="Verdana" w:cs="Times New Roman"/>
            <w:color w:val="000000"/>
            <w:u w:val="single"/>
          </w:rPr>
          <w:t>re-examination</w:t>
        </w:r>
      </w:hyperlink>
      <w:r w:rsidRPr="000D1814">
        <w:rPr>
          <w:rFonts w:ascii="Verdana" w:eastAsia="Times New Roman" w:hAnsi="Verdana" w:cs="Times New Roman"/>
          <w:color w:val="000000"/>
        </w:rPr>
        <w:t> of the opinion adopted during the Committee meeting in September 2019. In August 2016, the </w:t>
      </w:r>
      <w:hyperlink r:id="rId17" w:tgtFrame="_blank" w:tooltip="The approval to market a medicine in one, several or all European Union Member States." w:history="1">
        <w:r w:rsidRPr="000D1814">
          <w:rPr>
            <w:rFonts w:ascii="Verdana" w:eastAsia="Times New Roman" w:hAnsi="Verdana" w:cs="Times New Roman"/>
            <w:color w:val="000000"/>
            <w:u w:val="single"/>
          </w:rPr>
          <w:t xml:space="preserve">marketing </w:t>
        </w:r>
        <w:proofErr w:type="spellStart"/>
        <w:r w:rsidRPr="000D1814">
          <w:rPr>
            <w:rFonts w:ascii="Verdana" w:eastAsia="Times New Roman" w:hAnsi="Verdana" w:cs="Times New Roman"/>
            <w:color w:val="000000"/>
            <w:u w:val="single"/>
          </w:rPr>
          <w:t>authorisation</w:t>
        </w:r>
        <w:proofErr w:type="spellEnd"/>
      </w:hyperlink>
      <w:r w:rsidRPr="000D1814">
        <w:rPr>
          <w:rFonts w:ascii="Verdana" w:eastAsia="Times New Roman" w:hAnsi="Verdana" w:cs="Times New Roman"/>
          <w:color w:val="000000"/>
        </w:rPr>
        <w:t xml:space="preserve"> for </w:t>
      </w:r>
      <w:proofErr w:type="spellStart"/>
      <w:r w:rsidRPr="000D1814">
        <w:rPr>
          <w:rFonts w:ascii="Verdana" w:eastAsia="Times New Roman" w:hAnsi="Verdana" w:cs="Times New Roman"/>
          <w:color w:val="000000"/>
        </w:rPr>
        <w:t>Velactis</w:t>
      </w:r>
      <w:proofErr w:type="spellEnd"/>
      <w:r w:rsidRPr="000D1814">
        <w:rPr>
          <w:rFonts w:ascii="Verdana" w:eastAsia="Times New Roman" w:hAnsi="Verdana" w:cs="Times New Roman"/>
          <w:color w:val="000000"/>
        </w:rPr>
        <w:t xml:space="preserve"> was suspended by the European Commission (C(2016)5480 (final)) because of target animal safety concerns. This </w:t>
      </w:r>
      <w:hyperlink r:id="rId18" w:tgtFrame="_blank" w:tooltip="A change to the terms of a marketing authorisation. &#13; &#13; More information can be found under 'Variations'." w:history="1">
        <w:r w:rsidRPr="000D1814">
          <w:rPr>
            <w:rFonts w:ascii="Verdana" w:eastAsia="Times New Roman" w:hAnsi="Verdana" w:cs="Times New Roman"/>
            <w:color w:val="000000"/>
            <w:u w:val="single"/>
          </w:rPr>
          <w:t>variation</w:t>
        </w:r>
      </w:hyperlink>
      <w:r w:rsidRPr="000D1814">
        <w:rPr>
          <w:rFonts w:ascii="Verdana" w:eastAsia="Times New Roman" w:hAnsi="Verdana" w:cs="Times New Roman"/>
          <w:color w:val="000000"/>
        </w:rPr>
        <w:t xml:space="preserve"> was submitted with the intention to fulfil the </w:t>
      </w:r>
      <w:r w:rsidRPr="000D1814">
        <w:rPr>
          <w:rFonts w:ascii="Verdana" w:eastAsia="Times New Roman" w:hAnsi="Verdana" w:cs="Times New Roman"/>
          <w:color w:val="000000"/>
        </w:rPr>
        <w:lastRenderedPageBreak/>
        <w:t>conditions for the lifting of the suspension. However, the </w:t>
      </w:r>
      <w:hyperlink r:id="rId19"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0D1814">
          <w:rPr>
            <w:rFonts w:ascii="Verdana" w:eastAsia="Times New Roman" w:hAnsi="Verdana" w:cs="Times New Roman"/>
            <w:color w:val="000000"/>
            <w:u w:val="single"/>
          </w:rPr>
          <w:t>CVMP</w:t>
        </w:r>
      </w:hyperlink>
      <w:r w:rsidRPr="000D1814">
        <w:rPr>
          <w:rFonts w:ascii="Verdana" w:eastAsia="Times New Roman" w:hAnsi="Verdana" w:cs="Times New Roman"/>
          <w:color w:val="000000"/>
        </w:rPr>
        <w:t> concluded that the overall benefit-risk balance remains negative and recommended that the suspension of the </w:t>
      </w:r>
      <w:hyperlink r:id="rId20" w:tgtFrame="_blank" w:tooltip="The approval to market a medicine in one, several or all European Union Member States." w:history="1">
        <w:r w:rsidRPr="000D1814">
          <w:rPr>
            <w:rFonts w:ascii="Verdana" w:eastAsia="Times New Roman" w:hAnsi="Verdana" w:cs="Times New Roman"/>
            <w:color w:val="000000"/>
            <w:u w:val="single"/>
          </w:rPr>
          <w:t xml:space="preserve">marketing </w:t>
        </w:r>
        <w:proofErr w:type="spellStart"/>
        <w:r w:rsidRPr="000D1814">
          <w:rPr>
            <w:rFonts w:ascii="Verdana" w:eastAsia="Times New Roman" w:hAnsi="Verdana" w:cs="Times New Roman"/>
            <w:color w:val="000000"/>
            <w:u w:val="single"/>
          </w:rPr>
          <w:t>authorisation</w:t>
        </w:r>
        <w:proofErr w:type="spellEnd"/>
      </w:hyperlink>
      <w:r w:rsidRPr="000D1814">
        <w:rPr>
          <w:rFonts w:ascii="Verdana" w:eastAsia="Times New Roman" w:hAnsi="Verdana" w:cs="Times New Roman"/>
          <w:color w:val="000000"/>
        </w:rPr>
        <w:t xml:space="preserve"> of </w:t>
      </w:r>
      <w:proofErr w:type="spellStart"/>
      <w:r w:rsidRPr="000D1814">
        <w:rPr>
          <w:rFonts w:ascii="Verdana" w:eastAsia="Times New Roman" w:hAnsi="Verdana" w:cs="Times New Roman"/>
          <w:color w:val="000000"/>
        </w:rPr>
        <w:t>Velactis</w:t>
      </w:r>
      <w:proofErr w:type="spellEnd"/>
      <w:r w:rsidRPr="000D1814">
        <w:rPr>
          <w:rFonts w:ascii="Verdana" w:eastAsia="Times New Roman" w:hAnsi="Verdana" w:cs="Times New Roman"/>
          <w:color w:val="000000"/>
        </w:rPr>
        <w:t xml:space="preserve"> is maintained.</w:t>
      </w:r>
    </w:p>
    <w:p w14:paraId="0C7731A3"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More information about the above-mentioned medicines, including their full </w:t>
      </w:r>
      <w:hyperlink r:id="rId21" w:tgtFrame="_blank" w:tooltip="A medical condition that a medicine is used for. This can include the treatment, prevention and diagnosis of a disease." w:history="1">
        <w:r w:rsidRPr="000D1814">
          <w:rPr>
            <w:rFonts w:ascii="Verdana" w:eastAsia="Times New Roman" w:hAnsi="Verdana" w:cs="Times New Roman"/>
            <w:color w:val="000000"/>
            <w:u w:val="single"/>
          </w:rPr>
          <w:t>indication</w:t>
        </w:r>
      </w:hyperlink>
      <w:r w:rsidRPr="000D1814">
        <w:rPr>
          <w:rFonts w:ascii="Verdana" w:eastAsia="Times New Roman" w:hAnsi="Verdana" w:cs="Times New Roman"/>
          <w:color w:val="000000"/>
        </w:rPr>
        <w:t>, will be published on the Agency’s website.</w:t>
      </w:r>
    </w:p>
    <w:p w14:paraId="53B7F7F4" w14:textId="77777777" w:rsidR="000D1814" w:rsidRPr="000D1814" w:rsidRDefault="000D1814" w:rsidP="000D1814">
      <w:pPr>
        <w:spacing w:before="100" w:beforeAutospacing="1" w:after="100" w:afterAutospacing="1"/>
        <w:outlineLvl w:val="3"/>
        <w:rPr>
          <w:rFonts w:ascii="Verdana" w:eastAsia="Times New Roman" w:hAnsi="Verdana" w:cs="Times New Roman"/>
          <w:b/>
          <w:bCs/>
          <w:color w:val="404040"/>
        </w:rPr>
      </w:pPr>
      <w:r w:rsidRPr="000D1814">
        <w:rPr>
          <w:rFonts w:ascii="Verdana" w:eastAsia="Times New Roman" w:hAnsi="Verdana" w:cs="Times New Roman"/>
          <w:b/>
          <w:bCs/>
          <w:color w:val="404040"/>
        </w:rPr>
        <w:t>Community referrals and related procedures</w:t>
      </w:r>
    </w:p>
    <w:p w14:paraId="53B03F41"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Committee concluded the </w:t>
      </w:r>
      <w:hyperlink r:id="rId22" w:tgtFrame="_blank" w:tooltip="An evaluation conducted by a European Medicines Agency committee following a referral from the European Commission or a Member State. Referrals are used to address particular issues, such as safety concerns, to resolve disagreements between Member States on issues related to the authorisation of medicines or to give an opinion on an issue of Europe-wide interest. &#13; &#13; More information can be found under referral procedures (human) and referral procedures (veterinary)." w:history="1">
        <w:r w:rsidRPr="000D1814">
          <w:rPr>
            <w:rFonts w:ascii="Verdana" w:eastAsia="Times New Roman" w:hAnsi="Verdana" w:cs="Times New Roman"/>
            <w:color w:val="000000"/>
            <w:u w:val="single"/>
          </w:rPr>
          <w:t>referral</w:t>
        </w:r>
      </w:hyperlink>
      <w:r w:rsidRPr="000D1814">
        <w:rPr>
          <w:rFonts w:ascii="Verdana" w:eastAsia="Times New Roman" w:hAnsi="Verdana" w:cs="Times New Roman"/>
          <w:color w:val="000000"/>
        </w:rPr>
        <w:t> procedure for </w:t>
      </w:r>
      <w:proofErr w:type="spellStart"/>
      <w:r w:rsidRPr="000D1814">
        <w:rPr>
          <w:rFonts w:ascii="Verdana" w:eastAsia="Times New Roman" w:hAnsi="Verdana" w:cs="Times New Roman"/>
          <w:b/>
          <w:bCs/>
          <w:color w:val="000000"/>
        </w:rPr>
        <w:t>Ketabel</w:t>
      </w:r>
      <w:proofErr w:type="spellEnd"/>
      <w:r w:rsidRPr="000D1814">
        <w:rPr>
          <w:rFonts w:ascii="Verdana" w:eastAsia="Times New Roman" w:hAnsi="Verdana" w:cs="Times New Roman"/>
          <w:b/>
          <w:bCs/>
          <w:color w:val="000000"/>
        </w:rPr>
        <w:t xml:space="preserve"> 100 mg/ml solution for injection and associated names</w:t>
      </w:r>
      <w:r w:rsidRPr="000D1814">
        <w:rPr>
          <w:rFonts w:ascii="Verdana" w:eastAsia="Times New Roman" w:hAnsi="Verdana" w:cs="Times New Roman"/>
          <w:color w:val="000000"/>
        </w:rPr>
        <w:t> (ketamine) from Bela-Pharm GmbH &amp; Co. KG. The matter was referred to the Committee by France as the </w:t>
      </w:r>
      <w:hyperlink r:id="rId23" w:tgtFrame="_blank" w:tooltip="The European Union Member State that leads the review of an application in a mutual recognition procedure or decentralised procedure. &#13; &#13; More information can be found under volume 2A -  Procedures for marketing authorisation -  Chapter 2 -  Mutual recognition." w:history="1">
        <w:r w:rsidRPr="000D1814">
          <w:rPr>
            <w:rFonts w:ascii="Verdana" w:eastAsia="Times New Roman" w:hAnsi="Verdana" w:cs="Times New Roman"/>
            <w:color w:val="000000"/>
            <w:u w:val="single"/>
          </w:rPr>
          <w:t>reference Member State</w:t>
        </w:r>
      </w:hyperlink>
      <w:r w:rsidRPr="000D1814">
        <w:rPr>
          <w:rFonts w:ascii="Verdana" w:eastAsia="Times New Roman" w:hAnsi="Verdana" w:cs="Times New Roman"/>
          <w:color w:val="000000"/>
        </w:rPr>
        <w:t> in the </w:t>
      </w:r>
      <w:proofErr w:type="spellStart"/>
      <w:r w:rsidR="00D81762">
        <w:rPr>
          <w:rFonts w:ascii="Verdana" w:eastAsia="Times New Roman" w:hAnsi="Verdana" w:cs="Times New Roman"/>
          <w:color w:val="000000"/>
          <w:u w:val="single"/>
        </w:rPr>
        <w:fldChar w:fldCharType="begin"/>
      </w:r>
      <w:r w:rsidR="00D81762">
        <w:rPr>
          <w:rFonts w:ascii="Verdana" w:eastAsia="Times New Roman" w:hAnsi="Verdana" w:cs="Times New Roman"/>
          <w:color w:val="000000"/>
          <w:u w:val="single"/>
        </w:rPr>
        <w:instrText xml:space="preserve"> HYPERLINK "https://www.ema.europa.eu</w:instrText>
      </w:r>
      <w:r w:rsidR="00D81762">
        <w:rPr>
          <w:rFonts w:ascii="Verdana" w:eastAsia="Times New Roman" w:hAnsi="Verdana" w:cs="Times New Roman"/>
          <w:color w:val="000000"/>
          <w:u w:val="single"/>
        </w:rPr>
        <w:instrText>/en/glossary/decentralised-procedure" \t "_blank" \o "The procedure for authorising medicines in more than one European Union Member State in parallel. It can be used for medicines that do not need to be authorised via the centralised procedure and have no</w:instrText>
      </w:r>
      <w:r w:rsidR="00D81762">
        <w:rPr>
          <w:rFonts w:ascii="Verdana" w:eastAsia="Times New Roman" w:hAnsi="Verdana" w:cs="Times New Roman"/>
          <w:color w:val="000000"/>
          <w:u w:val="single"/>
        </w:rPr>
        <w:instrText>t already been authorised in any Member State. </w:instrText>
      </w:r>
      <w:r w:rsidR="00D81762">
        <w:rPr>
          <w:rFonts w:ascii="Verdana" w:eastAsia="Times New Roman" w:hAnsi="Verdana" w:cs="Times New Roman"/>
          <w:color w:val="000000"/>
          <w:u w:val="single"/>
        </w:rPr>
        <w:cr/>
        <w:instrText xml:space="preserve"> </w:instrText>
      </w:r>
      <w:r w:rsidR="00D81762">
        <w:rPr>
          <w:rFonts w:ascii="Verdana" w:eastAsia="Times New Roman" w:hAnsi="Verdana" w:cs="Times New Roman"/>
          <w:color w:val="000000"/>
          <w:u w:val="single"/>
        </w:rPr>
        <w:cr/>
        <w:instrText xml:space="preserve"> For more information, see the European Commission's Volume 2A -  Procedures for marketing authorisation -  Chapter 2 -  Mutual recognition." </w:instrText>
      </w:r>
      <w:r w:rsidR="00D81762">
        <w:rPr>
          <w:rFonts w:ascii="Verdana" w:eastAsia="Times New Roman" w:hAnsi="Verdana" w:cs="Times New Roman"/>
          <w:color w:val="000000"/>
          <w:u w:val="single"/>
        </w:rPr>
        <w:fldChar w:fldCharType="separate"/>
      </w:r>
      <w:r w:rsidRPr="000D1814">
        <w:rPr>
          <w:rFonts w:ascii="Verdana" w:eastAsia="Times New Roman" w:hAnsi="Verdana" w:cs="Times New Roman"/>
          <w:color w:val="000000"/>
          <w:u w:val="single"/>
        </w:rPr>
        <w:t>decentralised</w:t>
      </w:r>
      <w:proofErr w:type="spellEnd"/>
      <w:r w:rsidRPr="000D1814">
        <w:rPr>
          <w:rFonts w:ascii="Verdana" w:eastAsia="Times New Roman" w:hAnsi="Verdana" w:cs="Times New Roman"/>
          <w:color w:val="000000"/>
          <w:u w:val="single"/>
        </w:rPr>
        <w:t xml:space="preserve"> procedure</w:t>
      </w:r>
      <w:r w:rsidR="00D81762">
        <w:rPr>
          <w:rFonts w:ascii="Verdana" w:eastAsia="Times New Roman" w:hAnsi="Verdana" w:cs="Times New Roman"/>
          <w:color w:val="000000"/>
          <w:u w:val="single"/>
        </w:rPr>
        <w:fldChar w:fldCharType="end"/>
      </w:r>
      <w:r w:rsidRPr="000D1814">
        <w:rPr>
          <w:rFonts w:ascii="Verdana" w:eastAsia="Times New Roman" w:hAnsi="Verdana" w:cs="Times New Roman"/>
          <w:color w:val="000000"/>
        </w:rPr>
        <w:t>, under Article 33 (4) of Directive 2001/82/EC, due to concerns raised by Germany regarding the appropriateness of the </w:t>
      </w:r>
      <w:hyperlink r:id="rId24" w:tgtFrame="_blank" w:tooltip="The time that must elapse between the last administration of a veterinary medicine and the slaughter or production of food from that animal, to ensure that the food does not contain levels of the medicine that exceed the maximum residue limit. &#13; &#13; More information can be found under 'Maximum residue limits'." w:history="1">
        <w:r w:rsidRPr="000D1814">
          <w:rPr>
            <w:rFonts w:ascii="Verdana" w:eastAsia="Times New Roman" w:hAnsi="Verdana" w:cs="Times New Roman"/>
            <w:color w:val="000000"/>
            <w:u w:val="single"/>
          </w:rPr>
          <w:t>withdrawal period</w:t>
        </w:r>
      </w:hyperlink>
      <w:r w:rsidRPr="000D1814">
        <w:rPr>
          <w:rFonts w:ascii="Verdana" w:eastAsia="Times New Roman" w:hAnsi="Verdana" w:cs="Times New Roman"/>
          <w:color w:val="000000"/>
        </w:rPr>
        <w:t> when this veterinary </w:t>
      </w:r>
      <w:hyperlink r:id="rId25" w:tgtFrame="_blank" w:tooltip="A substance or combination of substances that is intended to treat, prevent or diagnose a disease, or to restore, correct or modify physiological functions by exerting a pharmacological, immunological or metabolic action." w:history="1">
        <w:r w:rsidRPr="000D1814">
          <w:rPr>
            <w:rFonts w:ascii="Verdana" w:eastAsia="Times New Roman" w:hAnsi="Verdana" w:cs="Times New Roman"/>
            <w:color w:val="000000"/>
            <w:u w:val="single"/>
          </w:rPr>
          <w:t>medicinal product</w:t>
        </w:r>
      </w:hyperlink>
      <w:r w:rsidRPr="000D1814">
        <w:rPr>
          <w:rFonts w:ascii="Verdana" w:eastAsia="Times New Roman" w:hAnsi="Verdana" w:cs="Times New Roman"/>
          <w:color w:val="000000"/>
        </w:rPr>
        <w:t> is administered via the intramuscular route to cattle, pigs, sheep and goats. The Committee adopted by consensus an opinion concluding that the objections raised by Germany during the </w:t>
      </w:r>
      <w:proofErr w:type="spellStart"/>
      <w:r w:rsidR="00D81762">
        <w:rPr>
          <w:rFonts w:ascii="Verdana" w:eastAsia="Times New Roman" w:hAnsi="Verdana" w:cs="Times New Roman"/>
          <w:color w:val="000000"/>
          <w:u w:val="single"/>
        </w:rPr>
        <w:fldChar w:fldCharType="begin"/>
      </w:r>
      <w:r w:rsidR="00D81762">
        <w:rPr>
          <w:rFonts w:ascii="Verdana" w:eastAsia="Times New Roman" w:hAnsi="Verdana" w:cs="Times New Roman"/>
          <w:color w:val="000000"/>
          <w:u w:val="single"/>
        </w:rPr>
        <w:instrText xml:space="preserve"> HYPERLINK "https://www.ema.europa.eu/en/glossary/decentralised-procedure" \t "_blank" \o "The procedure for authorising medicines in more than one European Union Member State in parallel. It can be used for medicines that do not need to be authori</w:instrText>
      </w:r>
      <w:r w:rsidR="00D81762">
        <w:rPr>
          <w:rFonts w:ascii="Verdana" w:eastAsia="Times New Roman" w:hAnsi="Verdana" w:cs="Times New Roman"/>
          <w:color w:val="000000"/>
          <w:u w:val="single"/>
        </w:rPr>
        <w:instrText>sed via the centralised procedure and have not already been authorised in any Member State. </w:instrText>
      </w:r>
      <w:r w:rsidR="00D81762">
        <w:rPr>
          <w:rFonts w:ascii="Verdana" w:eastAsia="Times New Roman" w:hAnsi="Verdana" w:cs="Times New Roman"/>
          <w:color w:val="000000"/>
          <w:u w:val="single"/>
        </w:rPr>
        <w:cr/>
        <w:instrText xml:space="preserve"> </w:instrText>
      </w:r>
      <w:r w:rsidR="00D81762">
        <w:rPr>
          <w:rFonts w:ascii="Verdana" w:eastAsia="Times New Roman" w:hAnsi="Verdana" w:cs="Times New Roman"/>
          <w:color w:val="000000"/>
          <w:u w:val="single"/>
        </w:rPr>
        <w:cr/>
        <w:instrText xml:space="preserve"> For more information, see the European Commission's Volume 2A -  Procedures for marketing authorisation -  Chapter 2 -  Mutual recognition." </w:instrText>
      </w:r>
      <w:r w:rsidR="00D81762">
        <w:rPr>
          <w:rFonts w:ascii="Verdana" w:eastAsia="Times New Roman" w:hAnsi="Verdana" w:cs="Times New Roman"/>
          <w:color w:val="000000"/>
          <w:u w:val="single"/>
        </w:rPr>
        <w:fldChar w:fldCharType="separate"/>
      </w:r>
      <w:r w:rsidRPr="000D1814">
        <w:rPr>
          <w:rFonts w:ascii="Verdana" w:eastAsia="Times New Roman" w:hAnsi="Verdana" w:cs="Times New Roman"/>
          <w:color w:val="000000"/>
          <w:u w:val="single"/>
        </w:rPr>
        <w:t>decentralised</w:t>
      </w:r>
      <w:proofErr w:type="spellEnd"/>
      <w:r w:rsidRPr="000D1814">
        <w:rPr>
          <w:rFonts w:ascii="Verdana" w:eastAsia="Times New Roman" w:hAnsi="Verdana" w:cs="Times New Roman"/>
          <w:color w:val="000000"/>
          <w:u w:val="single"/>
        </w:rPr>
        <w:t xml:space="preserve"> procedure</w:t>
      </w:r>
      <w:r w:rsidR="00D81762">
        <w:rPr>
          <w:rFonts w:ascii="Verdana" w:eastAsia="Times New Roman" w:hAnsi="Verdana" w:cs="Times New Roman"/>
          <w:color w:val="000000"/>
          <w:u w:val="single"/>
        </w:rPr>
        <w:fldChar w:fldCharType="end"/>
      </w:r>
      <w:r w:rsidRPr="000D1814">
        <w:rPr>
          <w:rFonts w:ascii="Verdana" w:eastAsia="Times New Roman" w:hAnsi="Verdana" w:cs="Times New Roman"/>
          <w:color w:val="000000"/>
        </w:rPr>
        <w:t> should not prevent the granting of a </w:t>
      </w:r>
      <w:hyperlink r:id="rId26" w:tgtFrame="_blank" w:tooltip="The approval to market a medicine in one, several or all European Union Member States." w:history="1">
        <w:r w:rsidRPr="000D1814">
          <w:rPr>
            <w:rFonts w:ascii="Verdana" w:eastAsia="Times New Roman" w:hAnsi="Verdana" w:cs="Times New Roman"/>
            <w:color w:val="000000"/>
            <w:u w:val="single"/>
          </w:rPr>
          <w:t xml:space="preserve">marketing </w:t>
        </w:r>
        <w:proofErr w:type="spellStart"/>
        <w:r w:rsidRPr="000D1814">
          <w:rPr>
            <w:rFonts w:ascii="Verdana" w:eastAsia="Times New Roman" w:hAnsi="Verdana" w:cs="Times New Roman"/>
            <w:color w:val="000000"/>
            <w:u w:val="single"/>
          </w:rPr>
          <w:t>authorisation</w:t>
        </w:r>
        <w:proofErr w:type="spellEnd"/>
      </w:hyperlink>
      <w:r w:rsidRPr="000D1814">
        <w:rPr>
          <w:rFonts w:ascii="Verdana" w:eastAsia="Times New Roman" w:hAnsi="Verdana" w:cs="Times New Roman"/>
          <w:color w:val="000000"/>
        </w:rPr>
        <w:t>.</w:t>
      </w:r>
    </w:p>
    <w:p w14:paraId="2B7784DE"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Committee concluded the </w:t>
      </w:r>
      <w:hyperlink r:id="rId27" w:tgtFrame="_blank" w:tooltip="An evaluation conducted by a European Medicines Agency committee following a referral from the European Commission or a Member State. Referrals are used to address particular issues, such as safety concerns, to resolve disagreements between Member States on issues related to the authorisation of medicines or to give an opinion on an issue of Europe-wide interest. &#13; &#13; More information can be found under referral procedures (human) and referral procedures (veterinary)." w:history="1">
        <w:r w:rsidRPr="000D1814">
          <w:rPr>
            <w:rFonts w:ascii="Verdana" w:eastAsia="Times New Roman" w:hAnsi="Verdana" w:cs="Times New Roman"/>
            <w:color w:val="000000"/>
            <w:u w:val="single"/>
          </w:rPr>
          <w:t>referral</w:t>
        </w:r>
      </w:hyperlink>
      <w:r w:rsidRPr="000D1814">
        <w:rPr>
          <w:rFonts w:ascii="Verdana" w:eastAsia="Times New Roman" w:hAnsi="Verdana" w:cs="Times New Roman"/>
          <w:color w:val="000000"/>
        </w:rPr>
        <w:t> procedure for </w:t>
      </w:r>
      <w:r w:rsidRPr="000D1814">
        <w:rPr>
          <w:rFonts w:ascii="Verdana" w:eastAsia="Times New Roman" w:hAnsi="Verdana" w:cs="Times New Roman"/>
          <w:b/>
          <w:bCs/>
          <w:color w:val="000000"/>
        </w:rPr>
        <w:t>veterinary </w:t>
      </w:r>
      <w:hyperlink r:id="rId28" w:tgtFrame="_blank" w:tooltip="A substance or combination of substances that is intended to treat, prevent or diagnose a disease, or to restore, correct or modify physiological functions by exerting a pharmacological, immunological or metabolic action." w:history="1">
        <w:r w:rsidRPr="000D1814">
          <w:rPr>
            <w:rFonts w:ascii="Verdana" w:eastAsia="Times New Roman" w:hAnsi="Verdana" w:cs="Times New Roman"/>
            <w:b/>
            <w:bCs/>
            <w:color w:val="000000"/>
            <w:u w:val="single"/>
          </w:rPr>
          <w:t>medicinal products</w:t>
        </w:r>
      </w:hyperlink>
      <w:r w:rsidRPr="000D1814">
        <w:rPr>
          <w:rFonts w:ascii="Verdana" w:eastAsia="Times New Roman" w:hAnsi="Verdana" w:cs="Times New Roman"/>
          <w:b/>
          <w:bCs/>
          <w:color w:val="000000"/>
        </w:rPr>
        <w:t xml:space="preserve"> containing </w:t>
      </w:r>
      <w:proofErr w:type="spellStart"/>
      <w:r w:rsidRPr="000D1814">
        <w:rPr>
          <w:rFonts w:ascii="Verdana" w:eastAsia="Times New Roman" w:hAnsi="Verdana" w:cs="Times New Roman"/>
          <w:b/>
          <w:bCs/>
          <w:color w:val="000000"/>
        </w:rPr>
        <w:t>tylosin</w:t>
      </w:r>
      <w:proofErr w:type="spellEnd"/>
      <w:r w:rsidRPr="000D1814">
        <w:rPr>
          <w:rFonts w:ascii="Verdana" w:eastAsia="Times New Roman" w:hAnsi="Verdana" w:cs="Times New Roman"/>
          <w:b/>
          <w:bCs/>
          <w:color w:val="000000"/>
        </w:rPr>
        <w:t xml:space="preserve"> base (as single </w:t>
      </w:r>
      <w:hyperlink r:id="rId29" w:tgtFrame="_blank" w:tooltip="The substance responsible for the activity of a medicine." w:history="1">
        <w:r w:rsidRPr="000D1814">
          <w:rPr>
            <w:rFonts w:ascii="Verdana" w:eastAsia="Times New Roman" w:hAnsi="Verdana" w:cs="Times New Roman"/>
            <w:b/>
            <w:bCs/>
            <w:color w:val="000000"/>
            <w:u w:val="single"/>
          </w:rPr>
          <w:t>active substance</w:t>
        </w:r>
      </w:hyperlink>
      <w:r w:rsidRPr="000D1814">
        <w:rPr>
          <w:rFonts w:ascii="Verdana" w:eastAsia="Times New Roman" w:hAnsi="Verdana" w:cs="Times New Roman"/>
          <w:b/>
          <w:bCs/>
          <w:color w:val="000000"/>
        </w:rPr>
        <w:t>) presented as solutions for injection for intramuscular use in pigs</w:t>
      </w:r>
      <w:r w:rsidRPr="000D1814">
        <w:rPr>
          <w:rFonts w:ascii="Verdana" w:eastAsia="Times New Roman" w:hAnsi="Verdana" w:cs="Times New Roman"/>
          <w:color w:val="000000"/>
        </w:rPr>
        <w:t>. The matter was referred to the Committee by France under Article 35 of Directive 2001/82/EC due to concerns relating to the appropriateness of the </w:t>
      </w:r>
      <w:hyperlink r:id="rId30" w:tgtFrame="_blank" w:tooltip="The time that must elapse between the last administration of a veterinary medicine and the slaughter or production of food from that animal, to ensure that the food does not contain levels of the medicine that exceed the maximum residue limit. &#13; &#13; More information can be found under 'Maximum residue limits'." w:history="1">
        <w:r w:rsidRPr="000D1814">
          <w:rPr>
            <w:rFonts w:ascii="Verdana" w:eastAsia="Times New Roman" w:hAnsi="Verdana" w:cs="Times New Roman"/>
            <w:color w:val="000000"/>
            <w:u w:val="single"/>
          </w:rPr>
          <w:t>withdrawal periods</w:t>
        </w:r>
      </w:hyperlink>
      <w:r w:rsidRPr="000D1814">
        <w:rPr>
          <w:rFonts w:ascii="Verdana" w:eastAsia="Times New Roman" w:hAnsi="Verdana" w:cs="Times New Roman"/>
          <w:color w:val="000000"/>
        </w:rPr>
        <w:t> in pigs. The Committee agreed that the maximum injection volume per site and the </w:t>
      </w:r>
      <w:hyperlink r:id="rId31" w:tgtFrame="_blank" w:tooltip="The time that must elapse between the last administration of a veterinary medicine and the slaughter or production of food from that animal, to ensure that the food does not contain levels of the medicine that exceed the maximum residue limit. &#13; &#13; More information can be found under 'Maximum residue limits'." w:history="1">
        <w:r w:rsidRPr="000D1814">
          <w:rPr>
            <w:rFonts w:ascii="Verdana" w:eastAsia="Times New Roman" w:hAnsi="Verdana" w:cs="Times New Roman"/>
            <w:color w:val="000000"/>
            <w:u w:val="single"/>
          </w:rPr>
          <w:t>withdrawal periods</w:t>
        </w:r>
      </w:hyperlink>
      <w:r w:rsidRPr="000D1814">
        <w:rPr>
          <w:rFonts w:ascii="Verdana" w:eastAsia="Times New Roman" w:hAnsi="Verdana" w:cs="Times New Roman"/>
          <w:color w:val="000000"/>
        </w:rPr>
        <w:t> for pig meat and offal should be amended to provide assurance for consumer safety. The Committee adopted by majority an opinion concluding that the </w:t>
      </w:r>
      <w:hyperlink r:id="rId32" w:tgtFrame="_blank" w:tooltip="The approval to market a medicine in one, several or all European Union Member States." w:history="1">
        <w:r w:rsidRPr="000D1814">
          <w:rPr>
            <w:rFonts w:ascii="Verdana" w:eastAsia="Times New Roman" w:hAnsi="Verdana" w:cs="Times New Roman"/>
            <w:color w:val="000000"/>
            <w:u w:val="single"/>
          </w:rPr>
          <w:t xml:space="preserve">marketing </w:t>
        </w:r>
        <w:proofErr w:type="spellStart"/>
        <w:r w:rsidRPr="000D1814">
          <w:rPr>
            <w:rFonts w:ascii="Verdana" w:eastAsia="Times New Roman" w:hAnsi="Verdana" w:cs="Times New Roman"/>
            <w:color w:val="000000"/>
            <w:u w:val="single"/>
          </w:rPr>
          <w:t>authorisations</w:t>
        </w:r>
        <w:proofErr w:type="spellEnd"/>
      </w:hyperlink>
      <w:r w:rsidRPr="000D1814">
        <w:rPr>
          <w:rFonts w:ascii="Verdana" w:eastAsia="Times New Roman" w:hAnsi="Verdana" w:cs="Times New Roman"/>
          <w:color w:val="000000"/>
        </w:rPr>
        <w:t> for the concerned products should be varied in order to amend the </w:t>
      </w:r>
      <w:hyperlink r:id="rId33" w:tgtFrame="_blank" w:tooltip="Documents providing officially approved information for healthcare professionals and patients on a medicine. The product information includes the summary of product characteristics, package leaflet and labelling. &#13; &#13; More information can be found under 'Product-information requirements'." w:history="1">
        <w:r w:rsidRPr="000D1814">
          <w:rPr>
            <w:rFonts w:ascii="Verdana" w:eastAsia="Times New Roman" w:hAnsi="Verdana" w:cs="Times New Roman"/>
            <w:color w:val="000000"/>
            <w:u w:val="single"/>
          </w:rPr>
          <w:t xml:space="preserve">product </w:t>
        </w:r>
        <w:proofErr w:type="spellStart"/>
        <w:r w:rsidRPr="000D1814">
          <w:rPr>
            <w:rFonts w:ascii="Verdana" w:eastAsia="Times New Roman" w:hAnsi="Verdana" w:cs="Times New Roman"/>
            <w:color w:val="000000"/>
            <w:u w:val="single"/>
          </w:rPr>
          <w:t>information</w:t>
        </w:r>
      </w:hyperlink>
      <w:r w:rsidRPr="000D1814">
        <w:rPr>
          <w:rFonts w:ascii="Verdana" w:eastAsia="Times New Roman" w:hAnsi="Verdana" w:cs="Times New Roman"/>
          <w:color w:val="000000"/>
        </w:rPr>
        <w:t>accordingly</w:t>
      </w:r>
      <w:proofErr w:type="spellEnd"/>
      <w:r w:rsidRPr="000D1814">
        <w:rPr>
          <w:rFonts w:ascii="Verdana" w:eastAsia="Times New Roman" w:hAnsi="Verdana" w:cs="Times New Roman"/>
          <w:color w:val="000000"/>
        </w:rPr>
        <w:t>.</w:t>
      </w:r>
    </w:p>
    <w:p w14:paraId="233113D7" w14:textId="77777777" w:rsidR="000D1814" w:rsidRPr="000D1814" w:rsidRDefault="000D1814" w:rsidP="000D1814">
      <w:pPr>
        <w:spacing w:before="100" w:beforeAutospacing="1" w:after="100" w:afterAutospacing="1"/>
        <w:outlineLvl w:val="3"/>
        <w:rPr>
          <w:rFonts w:ascii="Verdana" w:eastAsia="Times New Roman" w:hAnsi="Verdana" w:cs="Times New Roman"/>
          <w:b/>
          <w:bCs/>
          <w:color w:val="404040"/>
        </w:rPr>
      </w:pPr>
      <w:r w:rsidRPr="000D1814">
        <w:rPr>
          <w:rFonts w:ascii="Verdana" w:eastAsia="Times New Roman" w:hAnsi="Verdana" w:cs="Times New Roman"/>
          <w:b/>
          <w:bCs/>
          <w:color w:val="404040"/>
        </w:rPr>
        <w:t>Maximum residue limits</w:t>
      </w:r>
    </w:p>
    <w:p w14:paraId="2CD2D4C1"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Committee agreed to include bovine casein hydrolysate in a list of biological substances considered as not requiring an MRL evaluation in accordance with Regulation (EU) No. 2018/782 and adopted this list (EMA/</w:t>
      </w:r>
      <w:hyperlink r:id="rId34"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0D1814">
          <w:rPr>
            <w:rFonts w:ascii="Verdana" w:eastAsia="Times New Roman" w:hAnsi="Verdana" w:cs="Times New Roman"/>
            <w:color w:val="000000"/>
            <w:u w:val="single"/>
          </w:rPr>
          <w:t>CVMP</w:t>
        </w:r>
      </w:hyperlink>
      <w:r w:rsidRPr="000D1814">
        <w:rPr>
          <w:rFonts w:ascii="Verdana" w:eastAsia="Times New Roman" w:hAnsi="Verdana" w:cs="Times New Roman"/>
          <w:color w:val="000000"/>
        </w:rPr>
        <w:t>/572629/2009).</w:t>
      </w:r>
    </w:p>
    <w:p w14:paraId="2F38CC0D" w14:textId="77777777" w:rsidR="000D1814" w:rsidRPr="000D1814" w:rsidRDefault="000D1814" w:rsidP="000D1814">
      <w:pPr>
        <w:spacing w:before="100" w:beforeAutospacing="1" w:after="100" w:afterAutospacing="1"/>
        <w:rPr>
          <w:rFonts w:ascii="Verdana" w:eastAsia="Times New Roman" w:hAnsi="Verdana" w:cs="Times New Roman"/>
          <w:color w:val="000000"/>
        </w:rPr>
      </w:pPr>
      <w:r w:rsidRPr="000D1814">
        <w:rPr>
          <w:rFonts w:ascii="Verdana" w:eastAsia="Times New Roman" w:hAnsi="Verdana" w:cs="Times New Roman"/>
          <w:color w:val="000000"/>
        </w:rPr>
        <w:t>The document, following consultation with the EC, will be published on the Agency’s website.</w:t>
      </w:r>
    </w:p>
    <w:p w14:paraId="30F8E3B1" w14:textId="77777777" w:rsidR="000D1814" w:rsidRPr="000D1814" w:rsidRDefault="000D1814" w:rsidP="000D1814">
      <w:pPr>
        <w:spacing w:before="100" w:beforeAutospacing="1" w:after="100" w:afterAutospacing="1"/>
        <w:outlineLvl w:val="3"/>
        <w:rPr>
          <w:rFonts w:ascii="Verdana" w:eastAsia="Times New Roman" w:hAnsi="Verdana" w:cs="Times New Roman"/>
          <w:b/>
          <w:bCs/>
          <w:color w:val="404040"/>
        </w:rPr>
      </w:pPr>
      <w:r w:rsidRPr="000D1814">
        <w:rPr>
          <w:rFonts w:ascii="Verdana" w:eastAsia="Times New Roman" w:hAnsi="Verdana" w:cs="Times New Roman"/>
          <w:b/>
          <w:bCs/>
          <w:color w:val="404040"/>
        </w:rPr>
        <w:t>Scientific advice</w:t>
      </w:r>
    </w:p>
    <w:p w14:paraId="5743D664"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lastRenderedPageBreak/>
        <w:t>The Committee adopted three separate </w:t>
      </w:r>
      <w:hyperlink r:id="rId35" w:tgtFrame="_blank" w:tooltip="The provision of advice by the European Medicines Agency on the appropriate tests and studies required in the development of a medicine or on the quality of a medicine. &#13; &#13; More information can be found under 'Scientific advice and protocol assistance'." w:history="1">
        <w:r w:rsidRPr="000D1814">
          <w:rPr>
            <w:rFonts w:ascii="Verdana" w:eastAsia="Times New Roman" w:hAnsi="Verdana" w:cs="Times New Roman"/>
            <w:color w:val="000000"/>
            <w:u w:val="single"/>
          </w:rPr>
          <w:t>scientific advice</w:t>
        </w:r>
      </w:hyperlink>
      <w:r w:rsidRPr="000D1814">
        <w:rPr>
          <w:rFonts w:ascii="Verdana" w:eastAsia="Times New Roman" w:hAnsi="Verdana" w:cs="Times New Roman"/>
          <w:color w:val="000000"/>
        </w:rPr>
        <w:t> reports further to requests for:</w:t>
      </w:r>
    </w:p>
    <w:p w14:paraId="6084930B" w14:textId="77777777" w:rsidR="000D1814" w:rsidRPr="000D1814" w:rsidRDefault="000D1814" w:rsidP="000D1814">
      <w:pPr>
        <w:numPr>
          <w:ilvl w:val="0"/>
          <w:numId w:val="1"/>
        </w:num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Initial advice on quality, safety and </w:t>
      </w:r>
      <w:hyperlink r:id="rId36" w:tgtFrame="_blank" w:tooltip="The measurement of a medicine's desired effect under ideal conditions, such as in a clinical trial." w:history="1">
        <w:r w:rsidRPr="000D1814">
          <w:rPr>
            <w:rFonts w:ascii="Verdana" w:eastAsia="Times New Roman" w:hAnsi="Verdana" w:cs="Times New Roman"/>
            <w:color w:val="000000"/>
            <w:u w:val="single"/>
          </w:rPr>
          <w:t>efficacy</w:t>
        </w:r>
      </w:hyperlink>
      <w:r w:rsidRPr="000D1814">
        <w:rPr>
          <w:rFonts w:ascii="Verdana" w:eastAsia="Times New Roman" w:hAnsi="Verdana" w:cs="Times New Roman"/>
          <w:color w:val="000000"/>
        </w:rPr>
        <w:t> issues for a new veterinary </w:t>
      </w:r>
      <w:hyperlink r:id="rId37" w:tgtFrame="_blank" w:tooltip="A substance or combination of substances that is intended to treat, prevent or diagnose a disease, or to restore, correct or modify physiological functions by exerting a pharmacological, immunological or metabolic action." w:history="1">
        <w:r w:rsidRPr="000D1814">
          <w:rPr>
            <w:rFonts w:ascii="Verdana" w:eastAsia="Times New Roman" w:hAnsi="Verdana" w:cs="Times New Roman"/>
            <w:color w:val="000000"/>
            <w:u w:val="single"/>
          </w:rPr>
          <w:t>medicinal product</w:t>
        </w:r>
      </w:hyperlink>
      <w:r w:rsidRPr="000D1814">
        <w:rPr>
          <w:rFonts w:ascii="Verdana" w:eastAsia="Times New Roman" w:hAnsi="Verdana" w:cs="Times New Roman"/>
          <w:color w:val="000000"/>
        </w:rPr>
        <w:t> for musculoskeletal disorder </w:t>
      </w:r>
      <w:hyperlink r:id="rId38" w:tgtFrame="_blank" w:tooltip="A medical condition that a medicine is used for. This can include the treatment, prevention and diagnosis of a disease." w:history="1">
        <w:r w:rsidRPr="000D1814">
          <w:rPr>
            <w:rFonts w:ascii="Verdana" w:eastAsia="Times New Roman" w:hAnsi="Verdana" w:cs="Times New Roman"/>
            <w:color w:val="000000"/>
            <w:u w:val="single"/>
          </w:rPr>
          <w:t>indications</w:t>
        </w:r>
      </w:hyperlink>
      <w:r w:rsidRPr="000D1814">
        <w:rPr>
          <w:rFonts w:ascii="Verdana" w:eastAsia="Times New Roman" w:hAnsi="Verdana" w:cs="Times New Roman"/>
          <w:color w:val="000000"/>
        </w:rPr>
        <w:t> in dogs;</w:t>
      </w:r>
    </w:p>
    <w:p w14:paraId="5909E93B" w14:textId="77777777" w:rsidR="000D1814" w:rsidRPr="000D1814" w:rsidRDefault="000D1814" w:rsidP="000D1814">
      <w:pPr>
        <w:numPr>
          <w:ilvl w:val="0"/>
          <w:numId w:val="1"/>
        </w:num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Initial advice on quality, safety and </w:t>
      </w:r>
      <w:hyperlink r:id="rId39" w:tgtFrame="_blank" w:tooltip="The measurement of a medicine's desired effect under ideal conditions, such as in a clinical trial." w:history="1">
        <w:r w:rsidRPr="000D1814">
          <w:rPr>
            <w:rFonts w:ascii="Verdana" w:eastAsia="Times New Roman" w:hAnsi="Verdana" w:cs="Times New Roman"/>
            <w:color w:val="000000"/>
            <w:u w:val="single"/>
          </w:rPr>
          <w:t>efficacy</w:t>
        </w:r>
      </w:hyperlink>
      <w:r w:rsidRPr="000D1814">
        <w:rPr>
          <w:rFonts w:ascii="Verdana" w:eastAsia="Times New Roman" w:hAnsi="Verdana" w:cs="Times New Roman"/>
          <w:color w:val="000000"/>
        </w:rPr>
        <w:t> issues for a new veterinary </w:t>
      </w:r>
      <w:hyperlink r:id="rId40" w:tgtFrame="_blank" w:tooltip="A substance or combination of substances that is intended to treat, prevent or diagnose a disease, or to restore, correct or modify physiological functions by exerting a pharmacological, immunological or metabolic action." w:history="1">
        <w:r w:rsidRPr="000D1814">
          <w:rPr>
            <w:rFonts w:ascii="Verdana" w:eastAsia="Times New Roman" w:hAnsi="Verdana" w:cs="Times New Roman"/>
            <w:color w:val="000000"/>
            <w:u w:val="single"/>
          </w:rPr>
          <w:t>medicinal product</w:t>
        </w:r>
      </w:hyperlink>
      <w:r w:rsidRPr="000D1814">
        <w:rPr>
          <w:rFonts w:ascii="Verdana" w:eastAsia="Times New Roman" w:hAnsi="Verdana" w:cs="Times New Roman"/>
          <w:color w:val="000000"/>
        </w:rPr>
        <w:t> for musculoskeletal disorder </w:t>
      </w:r>
      <w:hyperlink r:id="rId41" w:tgtFrame="_blank" w:tooltip="A medical condition that a medicine is used for. This can include the treatment, prevention and diagnosis of a disease." w:history="1">
        <w:r w:rsidRPr="000D1814">
          <w:rPr>
            <w:rFonts w:ascii="Verdana" w:eastAsia="Times New Roman" w:hAnsi="Verdana" w:cs="Times New Roman"/>
            <w:color w:val="000000"/>
            <w:u w:val="single"/>
          </w:rPr>
          <w:t>indications</w:t>
        </w:r>
      </w:hyperlink>
      <w:r w:rsidRPr="000D1814">
        <w:rPr>
          <w:rFonts w:ascii="Verdana" w:eastAsia="Times New Roman" w:hAnsi="Verdana" w:cs="Times New Roman"/>
          <w:color w:val="000000"/>
        </w:rPr>
        <w:t> in dogs;</w:t>
      </w:r>
    </w:p>
    <w:p w14:paraId="6C456D46" w14:textId="77777777" w:rsidR="000D1814" w:rsidRPr="000D1814" w:rsidRDefault="000D1814" w:rsidP="000D1814">
      <w:pPr>
        <w:numPr>
          <w:ilvl w:val="0"/>
          <w:numId w:val="1"/>
        </w:num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Initial advice on quality, safety and </w:t>
      </w:r>
      <w:hyperlink r:id="rId42" w:tgtFrame="_blank" w:tooltip="The measurement of a medicine's desired effect under ideal conditions, such as in a clinical trial." w:history="1">
        <w:r w:rsidRPr="000D1814">
          <w:rPr>
            <w:rFonts w:ascii="Verdana" w:eastAsia="Times New Roman" w:hAnsi="Verdana" w:cs="Times New Roman"/>
            <w:color w:val="000000"/>
            <w:u w:val="single"/>
          </w:rPr>
          <w:t>efficacy</w:t>
        </w:r>
      </w:hyperlink>
      <w:r w:rsidRPr="000D1814">
        <w:rPr>
          <w:rFonts w:ascii="Verdana" w:eastAsia="Times New Roman" w:hAnsi="Verdana" w:cs="Times New Roman"/>
          <w:color w:val="000000"/>
        </w:rPr>
        <w:t> issues for a new veterinary </w:t>
      </w:r>
      <w:hyperlink r:id="rId43" w:tgtFrame="_blank" w:tooltip="A substance or combination of substances that is intended to treat, prevent or diagnose a disease, or to restore, correct or modify physiological functions by exerting a pharmacological, immunological or metabolic action." w:history="1">
        <w:r w:rsidRPr="000D1814">
          <w:rPr>
            <w:rFonts w:ascii="Verdana" w:eastAsia="Times New Roman" w:hAnsi="Verdana" w:cs="Times New Roman"/>
            <w:color w:val="000000"/>
            <w:u w:val="single"/>
          </w:rPr>
          <w:t>medicinal product</w:t>
        </w:r>
      </w:hyperlink>
      <w:r w:rsidRPr="000D1814">
        <w:rPr>
          <w:rFonts w:ascii="Verdana" w:eastAsia="Times New Roman" w:hAnsi="Verdana" w:cs="Times New Roman"/>
          <w:color w:val="000000"/>
        </w:rPr>
        <w:t> for musculoskeletal disorder </w:t>
      </w:r>
      <w:hyperlink r:id="rId44" w:tgtFrame="_blank" w:tooltip="A medical condition that a medicine is used for. This can include the treatment, prevention and diagnosis of a disease." w:history="1">
        <w:r w:rsidRPr="000D1814">
          <w:rPr>
            <w:rFonts w:ascii="Verdana" w:eastAsia="Times New Roman" w:hAnsi="Verdana" w:cs="Times New Roman"/>
            <w:color w:val="000000"/>
            <w:u w:val="single"/>
          </w:rPr>
          <w:t>indications</w:t>
        </w:r>
      </w:hyperlink>
      <w:r w:rsidRPr="000D1814">
        <w:rPr>
          <w:rFonts w:ascii="Verdana" w:eastAsia="Times New Roman" w:hAnsi="Verdana" w:cs="Times New Roman"/>
          <w:color w:val="000000"/>
        </w:rPr>
        <w:t> in horses.</w:t>
      </w:r>
    </w:p>
    <w:p w14:paraId="3E7E0566" w14:textId="77777777" w:rsidR="000D1814" w:rsidRPr="000D1814" w:rsidRDefault="000D1814" w:rsidP="000D1814">
      <w:pPr>
        <w:spacing w:before="100" w:beforeAutospacing="1" w:after="100" w:afterAutospacing="1"/>
        <w:outlineLvl w:val="3"/>
        <w:rPr>
          <w:rFonts w:ascii="Verdana" w:eastAsia="Times New Roman" w:hAnsi="Verdana" w:cs="Times New Roman"/>
          <w:b/>
          <w:bCs/>
          <w:color w:val="404040"/>
        </w:rPr>
      </w:pPr>
      <w:r w:rsidRPr="000D1814">
        <w:rPr>
          <w:rFonts w:ascii="Verdana" w:eastAsia="Times New Roman" w:hAnsi="Verdana" w:cs="Times New Roman"/>
          <w:b/>
          <w:bCs/>
          <w:color w:val="404040"/>
        </w:rPr>
        <w:t>Minor use, minor species (MUMS)/limited market</w:t>
      </w:r>
    </w:p>
    <w:p w14:paraId="03A1F459"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Following the Committee’s review of one request for classification under the MUMS/limited market policy, the </w:t>
      </w:r>
      <w:hyperlink r:id="rId45"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0D1814">
          <w:rPr>
            <w:rFonts w:ascii="Verdana" w:eastAsia="Times New Roman" w:hAnsi="Verdana" w:cs="Times New Roman"/>
            <w:color w:val="000000"/>
            <w:u w:val="single"/>
          </w:rPr>
          <w:t>CVMP</w:t>
        </w:r>
      </w:hyperlink>
      <w:r w:rsidRPr="000D1814">
        <w:rPr>
          <w:rFonts w:ascii="Verdana" w:eastAsia="Times New Roman" w:hAnsi="Verdana" w:cs="Times New Roman"/>
          <w:color w:val="000000"/>
        </w:rPr>
        <w:t> classified a product (antineoplastic and immunomodulating agents) for dogs as indicated for MUMS/limited market and eligible for reduced data requirements, where applicable. The product is not eligible for financial incentives as it is intended for use in non-food producing species.</w:t>
      </w:r>
    </w:p>
    <w:p w14:paraId="7727A916" w14:textId="77777777" w:rsidR="000D1814" w:rsidRPr="000D1814" w:rsidRDefault="000D1814" w:rsidP="000D1814">
      <w:pPr>
        <w:spacing w:before="100" w:beforeAutospacing="1" w:after="100" w:afterAutospacing="1"/>
        <w:outlineLvl w:val="3"/>
        <w:rPr>
          <w:rFonts w:ascii="Verdana" w:eastAsia="Times New Roman" w:hAnsi="Verdana" w:cs="Times New Roman"/>
          <w:b/>
          <w:bCs/>
          <w:color w:val="404040"/>
        </w:rPr>
      </w:pPr>
      <w:r w:rsidRPr="000D1814">
        <w:rPr>
          <w:rFonts w:ascii="Verdana" w:eastAsia="Times New Roman" w:hAnsi="Verdana" w:cs="Times New Roman"/>
          <w:b/>
          <w:bCs/>
          <w:color w:val="404040"/>
        </w:rPr>
        <w:t>Pharmacovigilance</w:t>
      </w:r>
    </w:p>
    <w:p w14:paraId="478E9805" w14:textId="77777777" w:rsidR="000D1814" w:rsidRPr="000D1814" w:rsidRDefault="000D1814" w:rsidP="000D1814">
      <w:pPr>
        <w:spacing w:before="100" w:beforeAutospacing="1" w:after="100" w:afterAutospacing="1"/>
        <w:rPr>
          <w:rFonts w:ascii="Verdana" w:eastAsia="Times New Roman" w:hAnsi="Verdana" w:cs="Times New Roman"/>
          <w:color w:val="000000"/>
        </w:rPr>
      </w:pPr>
      <w:r w:rsidRPr="000D1814">
        <w:rPr>
          <w:rFonts w:ascii="Verdana" w:eastAsia="Times New Roman" w:hAnsi="Verdana" w:cs="Times New Roman"/>
          <w:color w:val="000000"/>
        </w:rPr>
        <w:t>The Committee reviewed the PSURs for </w:t>
      </w:r>
      <w:proofErr w:type="spellStart"/>
      <w:r w:rsidRPr="000D1814">
        <w:rPr>
          <w:rFonts w:ascii="Verdana" w:eastAsia="Times New Roman" w:hAnsi="Verdana" w:cs="Times New Roman"/>
          <w:b/>
          <w:bCs/>
          <w:color w:val="000000"/>
        </w:rPr>
        <w:t>Coliprotec</w:t>
      </w:r>
      <w:proofErr w:type="spellEnd"/>
      <w:r w:rsidRPr="000D1814">
        <w:rPr>
          <w:rFonts w:ascii="Verdana" w:eastAsia="Times New Roman" w:hAnsi="Verdana" w:cs="Times New Roman"/>
          <w:b/>
          <w:bCs/>
          <w:color w:val="000000"/>
        </w:rPr>
        <w:t xml:space="preserve"> F4/F18</w:t>
      </w:r>
      <w:r w:rsidRPr="000D1814">
        <w:rPr>
          <w:rFonts w:ascii="Verdana" w:eastAsia="Times New Roman" w:hAnsi="Verdana" w:cs="Times New Roman"/>
          <w:color w:val="000000"/>
        </w:rPr>
        <w:t>, </w:t>
      </w:r>
      <w:r w:rsidRPr="000D1814">
        <w:rPr>
          <w:rFonts w:ascii="Verdana" w:eastAsia="Times New Roman" w:hAnsi="Verdana" w:cs="Times New Roman"/>
          <w:b/>
          <w:bCs/>
          <w:color w:val="000000"/>
        </w:rPr>
        <w:t>NexGard Spectra</w:t>
      </w:r>
      <w:r w:rsidRPr="000D1814">
        <w:rPr>
          <w:rFonts w:ascii="Verdana" w:eastAsia="Times New Roman" w:hAnsi="Verdana" w:cs="Times New Roman"/>
          <w:color w:val="000000"/>
        </w:rPr>
        <w:t>, </w:t>
      </w:r>
      <w:proofErr w:type="spellStart"/>
      <w:r w:rsidRPr="000D1814">
        <w:rPr>
          <w:rFonts w:ascii="Verdana" w:eastAsia="Times New Roman" w:hAnsi="Verdana" w:cs="Times New Roman"/>
          <w:b/>
          <w:bCs/>
          <w:color w:val="000000"/>
        </w:rPr>
        <w:t>Rheumocam</w:t>
      </w:r>
      <w:proofErr w:type="spellEnd"/>
      <w:r w:rsidRPr="000D1814">
        <w:rPr>
          <w:rFonts w:ascii="Verdana" w:eastAsia="Times New Roman" w:hAnsi="Verdana" w:cs="Times New Roman"/>
          <w:color w:val="000000"/>
        </w:rPr>
        <w:t>, </w:t>
      </w:r>
      <w:r w:rsidRPr="000D1814">
        <w:rPr>
          <w:rFonts w:ascii="Verdana" w:eastAsia="Times New Roman" w:hAnsi="Verdana" w:cs="Times New Roman"/>
          <w:b/>
          <w:bCs/>
          <w:color w:val="000000"/>
        </w:rPr>
        <w:t>UBAC</w:t>
      </w:r>
      <w:r w:rsidRPr="000D1814">
        <w:rPr>
          <w:rFonts w:ascii="Verdana" w:eastAsia="Times New Roman" w:hAnsi="Verdana" w:cs="Times New Roman"/>
          <w:color w:val="000000"/>
        </w:rPr>
        <w:t>, </w:t>
      </w:r>
      <w:proofErr w:type="spellStart"/>
      <w:r w:rsidRPr="000D1814">
        <w:rPr>
          <w:rFonts w:ascii="Verdana" w:eastAsia="Times New Roman" w:hAnsi="Verdana" w:cs="Times New Roman"/>
          <w:b/>
          <w:bCs/>
          <w:color w:val="000000"/>
        </w:rPr>
        <w:t>Versican</w:t>
      </w:r>
      <w:proofErr w:type="spellEnd"/>
      <w:r w:rsidRPr="000D1814">
        <w:rPr>
          <w:rFonts w:ascii="Verdana" w:eastAsia="Times New Roman" w:hAnsi="Verdana" w:cs="Times New Roman"/>
          <w:b/>
          <w:bCs/>
          <w:color w:val="000000"/>
        </w:rPr>
        <w:t xml:space="preserve"> Plus </w:t>
      </w:r>
      <w:proofErr w:type="spellStart"/>
      <w:r w:rsidRPr="000D1814">
        <w:rPr>
          <w:rFonts w:ascii="Verdana" w:eastAsia="Times New Roman" w:hAnsi="Verdana" w:cs="Times New Roman"/>
          <w:b/>
          <w:bCs/>
          <w:color w:val="000000"/>
        </w:rPr>
        <w:t>DHPPi</w:t>
      </w:r>
      <w:proofErr w:type="spellEnd"/>
      <w:r w:rsidRPr="000D1814">
        <w:rPr>
          <w:rFonts w:ascii="Verdana" w:eastAsia="Times New Roman" w:hAnsi="Verdana" w:cs="Times New Roman"/>
          <w:color w:val="000000"/>
        </w:rPr>
        <w:t>, </w:t>
      </w:r>
      <w:proofErr w:type="spellStart"/>
      <w:r w:rsidRPr="000D1814">
        <w:rPr>
          <w:rFonts w:ascii="Verdana" w:eastAsia="Times New Roman" w:hAnsi="Verdana" w:cs="Times New Roman"/>
          <w:b/>
          <w:bCs/>
          <w:color w:val="000000"/>
        </w:rPr>
        <w:t>Versican</w:t>
      </w:r>
      <w:proofErr w:type="spellEnd"/>
      <w:r w:rsidRPr="000D1814">
        <w:rPr>
          <w:rFonts w:ascii="Verdana" w:eastAsia="Times New Roman" w:hAnsi="Verdana" w:cs="Times New Roman"/>
          <w:b/>
          <w:bCs/>
          <w:color w:val="000000"/>
        </w:rPr>
        <w:t xml:space="preserve"> Plus </w:t>
      </w:r>
      <w:proofErr w:type="spellStart"/>
      <w:r w:rsidRPr="000D1814">
        <w:rPr>
          <w:rFonts w:ascii="Verdana" w:eastAsia="Times New Roman" w:hAnsi="Verdana" w:cs="Times New Roman"/>
          <w:b/>
          <w:bCs/>
          <w:color w:val="000000"/>
        </w:rPr>
        <w:t>DHPPi</w:t>
      </w:r>
      <w:proofErr w:type="spellEnd"/>
      <w:r w:rsidRPr="000D1814">
        <w:rPr>
          <w:rFonts w:ascii="Verdana" w:eastAsia="Times New Roman" w:hAnsi="Verdana" w:cs="Times New Roman"/>
          <w:b/>
          <w:bCs/>
          <w:color w:val="000000"/>
        </w:rPr>
        <w:t xml:space="preserve"> L4R</w:t>
      </w:r>
      <w:r w:rsidRPr="000D1814">
        <w:rPr>
          <w:rFonts w:ascii="Verdana" w:eastAsia="Times New Roman" w:hAnsi="Verdana" w:cs="Times New Roman"/>
          <w:color w:val="000000"/>
        </w:rPr>
        <w:t>, </w:t>
      </w:r>
      <w:proofErr w:type="spellStart"/>
      <w:r w:rsidRPr="000D1814">
        <w:rPr>
          <w:rFonts w:ascii="Verdana" w:eastAsia="Times New Roman" w:hAnsi="Verdana" w:cs="Times New Roman"/>
          <w:b/>
          <w:bCs/>
          <w:color w:val="000000"/>
        </w:rPr>
        <w:t>Versican</w:t>
      </w:r>
      <w:proofErr w:type="spellEnd"/>
      <w:r w:rsidRPr="000D1814">
        <w:rPr>
          <w:rFonts w:ascii="Verdana" w:eastAsia="Times New Roman" w:hAnsi="Verdana" w:cs="Times New Roman"/>
          <w:b/>
          <w:bCs/>
          <w:color w:val="000000"/>
        </w:rPr>
        <w:t xml:space="preserve"> Plus L4</w:t>
      </w:r>
      <w:r w:rsidRPr="000D1814">
        <w:rPr>
          <w:rFonts w:ascii="Verdana" w:eastAsia="Times New Roman" w:hAnsi="Verdana" w:cs="Times New Roman"/>
          <w:color w:val="000000"/>
        </w:rPr>
        <w:t>, </w:t>
      </w:r>
      <w:proofErr w:type="spellStart"/>
      <w:r w:rsidRPr="000D1814">
        <w:rPr>
          <w:rFonts w:ascii="Verdana" w:eastAsia="Times New Roman" w:hAnsi="Verdana" w:cs="Times New Roman"/>
          <w:b/>
          <w:bCs/>
          <w:color w:val="000000"/>
        </w:rPr>
        <w:t>Versican</w:t>
      </w:r>
      <w:proofErr w:type="spellEnd"/>
      <w:r w:rsidRPr="000D1814">
        <w:rPr>
          <w:rFonts w:ascii="Verdana" w:eastAsia="Times New Roman" w:hAnsi="Verdana" w:cs="Times New Roman"/>
          <w:b/>
          <w:bCs/>
          <w:color w:val="000000"/>
        </w:rPr>
        <w:t xml:space="preserve"> Plus Pi</w:t>
      </w:r>
      <w:r w:rsidRPr="000D1814">
        <w:rPr>
          <w:rFonts w:ascii="Verdana" w:eastAsia="Times New Roman" w:hAnsi="Verdana" w:cs="Times New Roman"/>
          <w:color w:val="000000"/>
        </w:rPr>
        <w:t>, </w:t>
      </w:r>
      <w:proofErr w:type="spellStart"/>
      <w:r w:rsidRPr="000D1814">
        <w:rPr>
          <w:rFonts w:ascii="Verdana" w:eastAsia="Times New Roman" w:hAnsi="Verdana" w:cs="Times New Roman"/>
          <w:b/>
          <w:bCs/>
          <w:color w:val="000000"/>
        </w:rPr>
        <w:t>Versican</w:t>
      </w:r>
      <w:proofErr w:type="spellEnd"/>
      <w:r w:rsidRPr="000D1814">
        <w:rPr>
          <w:rFonts w:ascii="Verdana" w:eastAsia="Times New Roman" w:hAnsi="Verdana" w:cs="Times New Roman"/>
          <w:b/>
          <w:bCs/>
          <w:color w:val="000000"/>
        </w:rPr>
        <w:t xml:space="preserve"> Plus Pi L4 </w:t>
      </w:r>
      <w:r w:rsidRPr="000D1814">
        <w:rPr>
          <w:rFonts w:ascii="Verdana" w:eastAsia="Times New Roman" w:hAnsi="Verdana" w:cs="Times New Roman"/>
          <w:color w:val="000000"/>
        </w:rPr>
        <w:t>and </w:t>
      </w:r>
      <w:proofErr w:type="spellStart"/>
      <w:r w:rsidRPr="000D1814">
        <w:rPr>
          <w:rFonts w:ascii="Verdana" w:eastAsia="Times New Roman" w:hAnsi="Verdana" w:cs="Times New Roman"/>
          <w:b/>
          <w:bCs/>
          <w:color w:val="000000"/>
        </w:rPr>
        <w:t>Versican</w:t>
      </w:r>
      <w:proofErr w:type="spellEnd"/>
      <w:r w:rsidRPr="000D1814">
        <w:rPr>
          <w:rFonts w:ascii="Verdana" w:eastAsia="Times New Roman" w:hAnsi="Verdana" w:cs="Times New Roman"/>
          <w:b/>
          <w:bCs/>
          <w:color w:val="000000"/>
        </w:rPr>
        <w:t xml:space="preserve"> Plus Pi L4R,</w:t>
      </w:r>
      <w:r w:rsidRPr="000D1814">
        <w:rPr>
          <w:rFonts w:ascii="Verdana" w:eastAsia="Times New Roman" w:hAnsi="Verdana" w:cs="Times New Roman"/>
          <w:color w:val="000000"/>
        </w:rPr>
        <w:t> and concluded that no further action was required.</w:t>
      </w:r>
    </w:p>
    <w:p w14:paraId="446AC85D" w14:textId="77777777" w:rsidR="000D1814" w:rsidRPr="000D1814" w:rsidRDefault="000D1814" w:rsidP="000D1814">
      <w:pPr>
        <w:spacing w:before="100" w:beforeAutospacing="1" w:after="100" w:afterAutospacing="1"/>
        <w:outlineLvl w:val="3"/>
        <w:rPr>
          <w:rFonts w:ascii="Verdana" w:eastAsia="Times New Roman" w:hAnsi="Verdana" w:cs="Times New Roman"/>
          <w:b/>
          <w:bCs/>
          <w:color w:val="404040"/>
        </w:rPr>
      </w:pPr>
      <w:r w:rsidRPr="000D1814">
        <w:rPr>
          <w:rFonts w:ascii="Verdana" w:eastAsia="Times New Roman" w:hAnsi="Verdana" w:cs="Times New Roman"/>
          <w:b/>
          <w:bCs/>
          <w:color w:val="404040"/>
        </w:rPr>
        <w:t>Concept papers, guidelines and SOPs</w:t>
      </w:r>
    </w:p>
    <w:p w14:paraId="4F957BBD" w14:textId="77777777" w:rsidR="000D1814" w:rsidRPr="000D1814" w:rsidRDefault="000D1814" w:rsidP="000D1814">
      <w:pPr>
        <w:spacing w:before="100" w:beforeAutospacing="1" w:after="100" w:afterAutospacing="1"/>
        <w:rPr>
          <w:rFonts w:ascii="Verdana" w:eastAsia="Times New Roman" w:hAnsi="Verdana" w:cs="Times New Roman"/>
          <w:color w:val="000000"/>
        </w:rPr>
      </w:pPr>
      <w:r w:rsidRPr="000D1814">
        <w:rPr>
          <w:rFonts w:ascii="Verdana" w:eastAsia="Times New Roman" w:hAnsi="Verdana" w:cs="Times New Roman"/>
          <w:b/>
          <w:bCs/>
          <w:i/>
          <w:iCs/>
          <w:color w:val="000000"/>
        </w:rPr>
        <w:t>Antimicrobials</w:t>
      </w:r>
    </w:p>
    <w:p w14:paraId="34B8E757"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Committee adopted the update of the </w:t>
      </w:r>
      <w:hyperlink r:id="rId46" w:tgtFrame="_blank" w:tooltip="The provision of advice by the European Medicines Agency on the appropriate tests and studies required in the development of a medicine or on the quality of a medicine. &#13; &#13; More information can be found under 'Scientific advice and protocol assistance'." w:history="1">
        <w:r w:rsidRPr="000D1814">
          <w:rPr>
            <w:rFonts w:ascii="Verdana" w:eastAsia="Times New Roman" w:hAnsi="Verdana" w:cs="Times New Roman"/>
            <w:color w:val="000000"/>
            <w:u w:val="single"/>
          </w:rPr>
          <w:t>scientific advice</w:t>
        </w:r>
      </w:hyperlink>
      <w:r w:rsidRPr="000D1814">
        <w:rPr>
          <w:rFonts w:ascii="Verdana" w:eastAsia="Times New Roman" w:hAnsi="Verdana" w:cs="Times New Roman"/>
          <w:color w:val="000000"/>
        </w:rPr>
        <w:t xml:space="preserve"> on the </w:t>
      </w:r>
      <w:proofErr w:type="spellStart"/>
      <w:r w:rsidRPr="000D1814">
        <w:rPr>
          <w:rFonts w:ascii="Verdana" w:eastAsia="Times New Roman" w:hAnsi="Verdana" w:cs="Times New Roman"/>
          <w:color w:val="000000"/>
        </w:rPr>
        <w:t>categorisation</w:t>
      </w:r>
      <w:proofErr w:type="spellEnd"/>
      <w:r w:rsidRPr="000D1814">
        <w:rPr>
          <w:rFonts w:ascii="Verdana" w:eastAsia="Times New Roman" w:hAnsi="Verdana" w:cs="Times New Roman"/>
          <w:color w:val="000000"/>
        </w:rPr>
        <w:t xml:space="preserve"> of antibiotics in the European Union prepared by the Antimicrobial Advice ad hoc Expert Group (AMEG) following the close of the public consultation. The initial </w:t>
      </w:r>
      <w:hyperlink r:id="rId47" w:tgtFrame="_blank" w:tooltip="The provision of advice by the European Medicines Agency on the appropriate tests and studies required in the development of a medicine or on the quality of a medicine. &#13; &#13; More information can be found under 'Scientific advice and protocol assistance'." w:history="1">
        <w:r w:rsidRPr="000D1814">
          <w:rPr>
            <w:rFonts w:ascii="Verdana" w:eastAsia="Times New Roman" w:hAnsi="Verdana" w:cs="Times New Roman"/>
            <w:color w:val="000000"/>
            <w:u w:val="single"/>
          </w:rPr>
          <w:t>scientific advice</w:t>
        </w:r>
      </w:hyperlink>
      <w:r w:rsidRPr="000D1814">
        <w:rPr>
          <w:rFonts w:ascii="Verdana" w:eastAsia="Times New Roman" w:hAnsi="Verdana" w:cs="Times New Roman"/>
          <w:color w:val="000000"/>
        </w:rPr>
        <w:t xml:space="preserve"> was adopted in 2014 and the request from the European Commission for the updated </w:t>
      </w:r>
      <w:proofErr w:type="spellStart"/>
      <w:r w:rsidRPr="000D1814">
        <w:rPr>
          <w:rFonts w:ascii="Verdana" w:eastAsia="Times New Roman" w:hAnsi="Verdana" w:cs="Times New Roman"/>
          <w:color w:val="000000"/>
        </w:rPr>
        <w:t>categorisation</w:t>
      </w:r>
      <w:proofErr w:type="spellEnd"/>
      <w:r w:rsidRPr="000D1814">
        <w:rPr>
          <w:rFonts w:ascii="Verdana" w:eastAsia="Times New Roman" w:hAnsi="Verdana" w:cs="Times New Roman"/>
          <w:color w:val="000000"/>
        </w:rPr>
        <w:t xml:space="preserve"> followed the need to take account of new information available and to refine the criteria applied. The comments received during the consultation procedure have been considered for the revision of the </w:t>
      </w:r>
      <w:hyperlink r:id="rId48" w:tgtFrame="_blank" w:tooltip="The provision of advice by the European Medicines Agency on the appropriate tests and studies required in the development of a medicine or on the quality of a medicine. &#13; &#13; More information can be found under 'Scientific advice and protocol assistance'." w:history="1">
        <w:r w:rsidRPr="000D1814">
          <w:rPr>
            <w:rFonts w:ascii="Verdana" w:eastAsia="Times New Roman" w:hAnsi="Verdana" w:cs="Times New Roman"/>
            <w:color w:val="000000"/>
            <w:u w:val="single"/>
          </w:rPr>
          <w:t>scientific advice</w:t>
        </w:r>
      </w:hyperlink>
      <w:r w:rsidRPr="000D1814">
        <w:rPr>
          <w:rFonts w:ascii="Verdana" w:eastAsia="Times New Roman" w:hAnsi="Verdana" w:cs="Times New Roman"/>
          <w:color w:val="000000"/>
        </w:rPr>
        <w:t> and were also adopted for publication by the Committee.</w:t>
      </w:r>
    </w:p>
    <w:p w14:paraId="348FBABD"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lastRenderedPageBreak/>
        <w:t>Both documents, the revised advice and the comments received during consultation, will be published on the Agency’s website after their adoption by </w:t>
      </w:r>
      <w:hyperlink r:id="rId4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0D1814">
          <w:rPr>
            <w:rFonts w:ascii="Verdana" w:eastAsia="Times New Roman" w:hAnsi="Verdana" w:cs="Times New Roman"/>
            <w:color w:val="000000"/>
            <w:u w:val="single"/>
          </w:rPr>
          <w:t>CHMP</w:t>
        </w:r>
      </w:hyperlink>
      <w:r w:rsidRPr="000D1814">
        <w:rPr>
          <w:rFonts w:ascii="Verdana" w:eastAsia="Times New Roman" w:hAnsi="Verdana" w:cs="Times New Roman"/>
          <w:color w:val="000000"/>
        </w:rPr>
        <w:t> which is foreseen for the December meeting of the </w:t>
      </w:r>
      <w:hyperlink r:id="rId50"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0D1814">
          <w:rPr>
            <w:rFonts w:ascii="Verdana" w:eastAsia="Times New Roman" w:hAnsi="Verdana" w:cs="Times New Roman"/>
            <w:color w:val="000000"/>
            <w:u w:val="single"/>
          </w:rPr>
          <w:t>CHMP</w:t>
        </w:r>
      </w:hyperlink>
      <w:r w:rsidRPr="000D1814">
        <w:rPr>
          <w:rFonts w:ascii="Verdana" w:eastAsia="Times New Roman" w:hAnsi="Verdana" w:cs="Times New Roman"/>
          <w:color w:val="000000"/>
        </w:rPr>
        <w:t> on 9-12 December 2019.</w:t>
      </w:r>
    </w:p>
    <w:p w14:paraId="08FBBF1A" w14:textId="77777777" w:rsidR="000D1814" w:rsidRPr="000D1814" w:rsidRDefault="000D1814" w:rsidP="000D1814">
      <w:pPr>
        <w:spacing w:before="100" w:beforeAutospacing="1" w:after="100" w:afterAutospacing="1"/>
        <w:outlineLvl w:val="3"/>
        <w:rPr>
          <w:rFonts w:ascii="Verdana" w:eastAsia="Times New Roman" w:hAnsi="Verdana" w:cs="Times New Roman"/>
          <w:b/>
          <w:bCs/>
          <w:color w:val="404040"/>
        </w:rPr>
      </w:pPr>
      <w:r w:rsidRPr="000D1814">
        <w:rPr>
          <w:rFonts w:ascii="Verdana" w:eastAsia="Times New Roman" w:hAnsi="Verdana" w:cs="Times New Roman"/>
          <w:b/>
          <w:bCs/>
          <w:color w:val="404040"/>
        </w:rPr>
        <w:t xml:space="preserve">International </w:t>
      </w:r>
      <w:proofErr w:type="spellStart"/>
      <w:r w:rsidRPr="000D1814">
        <w:rPr>
          <w:rFonts w:ascii="Verdana" w:eastAsia="Times New Roman" w:hAnsi="Verdana" w:cs="Times New Roman"/>
          <w:b/>
          <w:bCs/>
          <w:color w:val="404040"/>
        </w:rPr>
        <w:t>harmonisation</w:t>
      </w:r>
      <w:proofErr w:type="spellEnd"/>
    </w:p>
    <w:p w14:paraId="3CDF0523"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Committee adopted the </w:t>
      </w:r>
      <w:hyperlink r:id="rId51" w:tgtFrame="_blank" w:tooltip="A document providing guidance on the scientific or regulatory aspects of the development of medicines and applications for marketing authorisation. Although guidelines are not legally binding, applicants need to provide justification for any deviations. &#13; &#13; For more information can be found under Scientific guidelines." w:history="1">
        <w:r w:rsidRPr="000D1814">
          <w:rPr>
            <w:rFonts w:ascii="Verdana" w:eastAsia="Times New Roman" w:hAnsi="Verdana" w:cs="Times New Roman"/>
            <w:color w:val="000000"/>
            <w:u w:val="single"/>
          </w:rPr>
          <w:t>guideline</w:t>
        </w:r>
      </w:hyperlink>
      <w:r w:rsidRPr="000D1814">
        <w:rPr>
          <w:rFonts w:ascii="Verdana" w:eastAsia="Times New Roman" w:hAnsi="Verdana" w:cs="Times New Roman"/>
          <w:color w:val="000000"/>
        </w:rPr>
        <w:t> VICH GL58 on stability testing of new veterinary drug substances and </w:t>
      </w:r>
      <w:hyperlink r:id="rId52" w:tgtFrame="_blank" w:tooltip="A substance or combination of substances that is intended to treat, prevent or diagnose a disease, or to restore, correct or modify physiological functions by exerting a pharmacological, immunological or metabolic action." w:history="1">
        <w:r w:rsidRPr="000D1814">
          <w:rPr>
            <w:rFonts w:ascii="Verdana" w:eastAsia="Times New Roman" w:hAnsi="Verdana" w:cs="Times New Roman"/>
            <w:color w:val="000000"/>
            <w:u w:val="single"/>
          </w:rPr>
          <w:t>medicinal products</w:t>
        </w:r>
      </w:hyperlink>
      <w:r w:rsidRPr="000D1814">
        <w:rPr>
          <w:rFonts w:ascii="Verdana" w:eastAsia="Times New Roman" w:hAnsi="Verdana" w:cs="Times New Roman"/>
          <w:color w:val="000000"/>
        </w:rPr>
        <w:t> in Climatic Zones III and IV for implementation at step 7 following the sign-off by the VICH Steering Committee</w:t>
      </w:r>
    </w:p>
    <w:p w14:paraId="52D4EE80"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w:t>
      </w:r>
      <w:hyperlink r:id="rId53" w:tgtFrame="_blank" w:tooltip="A document providing guidance on the scientific or regulatory aspects of the development of medicines and applications for marketing authorisation. Although guidelines are not legally binding, applicants need to provide justification for any deviations. &#13; &#13; For more information can be found under Scientific guidelines." w:history="1">
        <w:r w:rsidRPr="000D1814">
          <w:rPr>
            <w:rFonts w:ascii="Verdana" w:eastAsia="Times New Roman" w:hAnsi="Verdana" w:cs="Times New Roman"/>
            <w:color w:val="000000"/>
            <w:u w:val="single"/>
          </w:rPr>
          <w:t>guideline</w:t>
        </w:r>
      </w:hyperlink>
      <w:r w:rsidRPr="000D1814">
        <w:rPr>
          <w:rFonts w:ascii="Verdana" w:eastAsia="Times New Roman" w:hAnsi="Verdana" w:cs="Times New Roman"/>
          <w:color w:val="000000"/>
        </w:rPr>
        <w:t> will be published on the Agency’s website.</w:t>
      </w:r>
    </w:p>
    <w:p w14:paraId="4DCE75B9" w14:textId="77777777" w:rsidR="000D1814" w:rsidRPr="000D1814" w:rsidRDefault="000D1814" w:rsidP="000D1814">
      <w:pPr>
        <w:spacing w:before="100" w:beforeAutospacing="1" w:after="100" w:afterAutospacing="1"/>
        <w:outlineLvl w:val="3"/>
        <w:rPr>
          <w:rFonts w:ascii="Verdana" w:eastAsia="Times New Roman" w:hAnsi="Verdana" w:cs="Times New Roman"/>
          <w:b/>
          <w:bCs/>
          <w:color w:val="404040"/>
        </w:rPr>
      </w:pPr>
      <w:proofErr w:type="spellStart"/>
      <w:r w:rsidRPr="000D1814">
        <w:rPr>
          <w:rFonts w:ascii="Verdana" w:eastAsia="Times New Roman" w:hAnsi="Verdana" w:cs="Times New Roman"/>
          <w:b/>
          <w:bCs/>
          <w:color w:val="404040"/>
        </w:rPr>
        <w:t>Organisational</w:t>
      </w:r>
      <w:proofErr w:type="spellEnd"/>
      <w:r w:rsidRPr="000D1814">
        <w:rPr>
          <w:rFonts w:ascii="Verdana" w:eastAsia="Times New Roman" w:hAnsi="Verdana" w:cs="Times New Roman"/>
          <w:b/>
          <w:bCs/>
          <w:color w:val="404040"/>
        </w:rPr>
        <w:t xml:space="preserve"> matters</w:t>
      </w:r>
    </w:p>
    <w:p w14:paraId="04871027"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Committee adopted the </w:t>
      </w:r>
      <w:hyperlink r:id="rId54"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0D1814">
          <w:rPr>
            <w:rFonts w:ascii="Verdana" w:eastAsia="Times New Roman" w:hAnsi="Verdana" w:cs="Times New Roman"/>
            <w:color w:val="000000"/>
            <w:u w:val="single"/>
          </w:rPr>
          <w:t>CVMP</w:t>
        </w:r>
      </w:hyperlink>
      <w:r w:rsidRPr="000D1814">
        <w:rPr>
          <w:rFonts w:ascii="Verdana" w:eastAsia="Times New Roman" w:hAnsi="Verdana" w:cs="Times New Roman"/>
          <w:color w:val="000000"/>
        </w:rPr>
        <w:t> work plan for 2020, which highlights the priority areas for the Committee in the coming year.</w:t>
      </w:r>
    </w:p>
    <w:p w14:paraId="4C8368C1"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w:t>
      </w:r>
      <w:hyperlink r:id="rId55"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0D1814">
          <w:rPr>
            <w:rFonts w:ascii="Verdana" w:eastAsia="Times New Roman" w:hAnsi="Verdana" w:cs="Times New Roman"/>
            <w:color w:val="000000"/>
            <w:u w:val="single"/>
          </w:rPr>
          <w:t>CVMP</w:t>
        </w:r>
      </w:hyperlink>
      <w:r w:rsidRPr="000D1814">
        <w:rPr>
          <w:rFonts w:ascii="Verdana" w:eastAsia="Times New Roman" w:hAnsi="Verdana" w:cs="Times New Roman"/>
          <w:color w:val="000000"/>
        </w:rPr>
        <w:t> work plan for 2020 will be published on the Agency’s website.</w:t>
      </w:r>
    </w:p>
    <w:p w14:paraId="6856A3FB" w14:textId="77777777" w:rsidR="000D1814" w:rsidRPr="000D1814" w:rsidRDefault="000D1814" w:rsidP="000D1814">
      <w:pPr>
        <w:spacing w:before="100" w:beforeAutospacing="1" w:after="100" w:afterAutospacing="1"/>
        <w:outlineLvl w:val="3"/>
        <w:rPr>
          <w:rFonts w:ascii="Verdana" w:eastAsia="Times New Roman" w:hAnsi="Verdana" w:cs="Times New Roman"/>
          <w:b/>
          <w:bCs/>
          <w:color w:val="404040"/>
        </w:rPr>
      </w:pPr>
      <w:r w:rsidRPr="000D1814">
        <w:rPr>
          <w:rFonts w:ascii="Verdana" w:eastAsia="Times New Roman" w:hAnsi="Verdana" w:cs="Times New Roman"/>
          <w:b/>
          <w:bCs/>
          <w:color w:val="404040"/>
        </w:rPr>
        <w:t>CVMP recommendation on the use of live attenuated PRRSV vaccines</w:t>
      </w:r>
    </w:p>
    <w:p w14:paraId="5EDDB54A"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w:t>
      </w:r>
      <w:hyperlink r:id="rId56"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0D1814">
          <w:rPr>
            <w:rFonts w:ascii="Verdana" w:eastAsia="Times New Roman" w:hAnsi="Verdana" w:cs="Times New Roman"/>
            <w:color w:val="000000"/>
            <w:u w:val="single"/>
          </w:rPr>
          <w:t>CVMP</w:t>
        </w:r>
      </w:hyperlink>
      <w:r w:rsidRPr="000D1814">
        <w:rPr>
          <w:rFonts w:ascii="Verdana" w:eastAsia="Times New Roman" w:hAnsi="Verdana" w:cs="Times New Roman"/>
          <w:color w:val="000000"/>
        </w:rPr>
        <w:t> is aware of a recombination event between two live attenuated Porcine Reproductive and Respiratory Syndrome virus (PRRSV) type 1 vaccine strains leading to a recombinant strain that has been associated with clinical signs of disease in PRRS-naïve herds in Denmark.</w:t>
      </w:r>
    </w:p>
    <w:p w14:paraId="7A80C14E" w14:textId="77777777" w:rsidR="000D1814" w:rsidRPr="000D1814" w:rsidRDefault="000D1814" w:rsidP="000D1814">
      <w:pPr>
        <w:spacing w:before="100" w:beforeAutospacing="1" w:after="100" w:afterAutospacing="1"/>
        <w:rPr>
          <w:rFonts w:ascii="Verdana" w:eastAsia="Times New Roman" w:hAnsi="Verdana" w:cs="Times New Roman"/>
          <w:color w:val="000000"/>
        </w:rPr>
      </w:pPr>
      <w:r w:rsidRPr="000D1814">
        <w:rPr>
          <w:rFonts w:ascii="Verdana" w:eastAsia="Times New Roman" w:hAnsi="Verdana" w:cs="Times New Roman"/>
          <w:color w:val="000000"/>
        </w:rPr>
        <w:t xml:space="preserve">Recombination between strains of PRRS virus, including live type 1 PRRSV vaccine strains, is a known phenomenon that has been reported in the scientific literature. Therefore, </w:t>
      </w:r>
      <w:proofErr w:type="spellStart"/>
      <w:r w:rsidRPr="000D1814">
        <w:rPr>
          <w:rFonts w:ascii="Verdana" w:eastAsia="Times New Roman" w:hAnsi="Verdana" w:cs="Times New Roman"/>
          <w:color w:val="000000"/>
        </w:rPr>
        <w:t>recombinations</w:t>
      </w:r>
      <w:proofErr w:type="spellEnd"/>
      <w:r w:rsidRPr="000D1814">
        <w:rPr>
          <w:rFonts w:ascii="Verdana" w:eastAsia="Times New Roman" w:hAnsi="Verdana" w:cs="Times New Roman"/>
          <w:color w:val="000000"/>
        </w:rPr>
        <w:t xml:space="preserve"> of PRRSV strains similar to the one observed in Denmark may occur elsewhere at any time.</w:t>
      </w:r>
    </w:p>
    <w:p w14:paraId="3884BCFB" w14:textId="77777777" w:rsidR="000D1814" w:rsidRPr="000D1814" w:rsidRDefault="000D1814" w:rsidP="000D1814">
      <w:p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The </w:t>
      </w:r>
      <w:hyperlink r:id="rId57" w:tgtFrame="_blank" w:tooltip="Committee for Medicinal Products for Veterinary Use -  the committee that is responsible for preparing the Agency's opinions on all questions concerning veterinary medicines. &#13; &#13; More information can be found under 'Committee for Medicinal Products for Veterinary Use (CVMP)'." w:history="1">
        <w:r w:rsidRPr="000D1814">
          <w:rPr>
            <w:rFonts w:ascii="Verdana" w:eastAsia="Times New Roman" w:hAnsi="Verdana" w:cs="Times New Roman"/>
            <w:color w:val="000000"/>
            <w:u w:val="single"/>
          </w:rPr>
          <w:t>CVMP</w:t>
        </w:r>
      </w:hyperlink>
      <w:r w:rsidRPr="000D1814">
        <w:rPr>
          <w:rFonts w:ascii="Verdana" w:eastAsia="Times New Roman" w:hAnsi="Verdana" w:cs="Times New Roman"/>
          <w:color w:val="000000"/>
        </w:rPr>
        <w:t> makes the following recommendations concerning the use of live attenuated PRRSV vaccines:</w:t>
      </w:r>
    </w:p>
    <w:p w14:paraId="5752B589" w14:textId="77777777" w:rsidR="000D1814" w:rsidRPr="000D1814" w:rsidRDefault="000D1814" w:rsidP="000D1814">
      <w:pPr>
        <w:numPr>
          <w:ilvl w:val="0"/>
          <w:numId w:val="2"/>
        </w:numPr>
        <w:spacing w:before="100" w:beforeAutospacing="1" w:after="100" w:afterAutospacing="1"/>
        <w:rPr>
          <w:rFonts w:ascii="Verdana" w:eastAsia="Times New Roman" w:hAnsi="Verdana" w:cs="Times New Roman"/>
          <w:color w:val="000000"/>
        </w:rPr>
      </w:pPr>
      <w:r w:rsidRPr="000D1814">
        <w:rPr>
          <w:rFonts w:ascii="Verdana" w:eastAsia="Times New Roman" w:hAnsi="Verdana" w:cs="Times New Roman"/>
          <w:color w:val="000000"/>
        </w:rPr>
        <w:t>In order to limit the potential risk of recombination between vaccine strains, the simultaneous or consecutive use of different live attenuated PRRSV vaccines should be avoided as much as possible while continuing to protect animal health.</w:t>
      </w:r>
    </w:p>
    <w:p w14:paraId="1B0B2622" w14:textId="77777777" w:rsidR="000D1814" w:rsidRPr="000D1814" w:rsidRDefault="000D1814" w:rsidP="000D1814">
      <w:pPr>
        <w:numPr>
          <w:ilvl w:val="0"/>
          <w:numId w:val="2"/>
        </w:num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Increased monitoring of any suspected </w:t>
      </w:r>
      <w:hyperlink r:id="rId58" w:tgtFrame="_blank" w:tooltip="An untoward medical occurrence after exposure to a medicine, which is not necessarily caused by that medicine." w:history="1">
        <w:r w:rsidRPr="000D1814">
          <w:rPr>
            <w:rFonts w:ascii="Verdana" w:eastAsia="Times New Roman" w:hAnsi="Verdana" w:cs="Times New Roman"/>
            <w:color w:val="000000"/>
            <w:u w:val="single"/>
          </w:rPr>
          <w:t>adverse event</w:t>
        </w:r>
      </w:hyperlink>
      <w:r w:rsidRPr="000D1814">
        <w:rPr>
          <w:rFonts w:ascii="Verdana" w:eastAsia="Times New Roman" w:hAnsi="Verdana" w:cs="Times New Roman"/>
          <w:color w:val="000000"/>
        </w:rPr>
        <w:t> relating to clinical signs of PRRS, including the occurrence of relevant clinical signs of the disease in vaccinated herds, is recommended. Any suspected </w:t>
      </w:r>
      <w:hyperlink r:id="rId59" w:tgtFrame="_blank" w:tooltip="An untoward medical occurrence after exposure to a medicine, which is not necessarily caused by that medicine." w:history="1">
        <w:r w:rsidRPr="000D1814">
          <w:rPr>
            <w:rFonts w:ascii="Verdana" w:eastAsia="Times New Roman" w:hAnsi="Verdana" w:cs="Times New Roman"/>
            <w:color w:val="000000"/>
            <w:u w:val="single"/>
          </w:rPr>
          <w:t>adverse event</w:t>
        </w:r>
      </w:hyperlink>
      <w:r w:rsidRPr="000D1814">
        <w:rPr>
          <w:rFonts w:ascii="Verdana" w:eastAsia="Times New Roman" w:hAnsi="Verdana" w:cs="Times New Roman"/>
          <w:color w:val="000000"/>
        </w:rPr>
        <w:t> should be reported to the </w:t>
      </w:r>
      <w:hyperlink r:id="rId60" w:tgtFrame="_blank" w:tooltip="A medicines regulatory authority in a European Union Member State." w:history="1">
        <w:r w:rsidRPr="000D1814">
          <w:rPr>
            <w:rFonts w:ascii="Verdana" w:eastAsia="Times New Roman" w:hAnsi="Verdana" w:cs="Times New Roman"/>
            <w:color w:val="000000"/>
            <w:u w:val="single"/>
          </w:rPr>
          <w:t xml:space="preserve">national competent </w:t>
        </w:r>
        <w:r w:rsidRPr="000D1814">
          <w:rPr>
            <w:rFonts w:ascii="Verdana" w:eastAsia="Times New Roman" w:hAnsi="Verdana" w:cs="Times New Roman"/>
            <w:color w:val="000000"/>
            <w:u w:val="single"/>
          </w:rPr>
          <w:lastRenderedPageBreak/>
          <w:t>authority</w:t>
        </w:r>
      </w:hyperlink>
      <w:r w:rsidRPr="000D1814">
        <w:rPr>
          <w:rFonts w:ascii="Verdana" w:eastAsia="Times New Roman" w:hAnsi="Verdana" w:cs="Times New Roman"/>
          <w:color w:val="000000"/>
        </w:rPr>
        <w:t> for veterinary medicines or the </w:t>
      </w:r>
      <w:hyperlink r:id="rId61" w:tgtFrame="_blank" w:tooltip="The company or other legal entity that has the authorisation to market a medicine in one, several or all European Union Member States." w:history="1">
        <w:r w:rsidRPr="000D1814">
          <w:rPr>
            <w:rFonts w:ascii="Verdana" w:eastAsia="Times New Roman" w:hAnsi="Verdana" w:cs="Times New Roman"/>
            <w:color w:val="000000"/>
            <w:u w:val="single"/>
          </w:rPr>
          <w:t xml:space="preserve">marketing </w:t>
        </w:r>
        <w:proofErr w:type="spellStart"/>
        <w:r w:rsidRPr="000D1814">
          <w:rPr>
            <w:rFonts w:ascii="Verdana" w:eastAsia="Times New Roman" w:hAnsi="Verdana" w:cs="Times New Roman"/>
            <w:color w:val="000000"/>
            <w:u w:val="single"/>
          </w:rPr>
          <w:t>authorisation</w:t>
        </w:r>
        <w:proofErr w:type="spellEnd"/>
        <w:r w:rsidRPr="000D1814">
          <w:rPr>
            <w:rFonts w:ascii="Verdana" w:eastAsia="Times New Roman" w:hAnsi="Verdana" w:cs="Times New Roman"/>
            <w:color w:val="000000"/>
            <w:u w:val="single"/>
          </w:rPr>
          <w:t xml:space="preserve"> holder</w:t>
        </w:r>
      </w:hyperlink>
      <w:r w:rsidRPr="000D1814">
        <w:rPr>
          <w:rFonts w:ascii="Verdana" w:eastAsia="Times New Roman" w:hAnsi="Verdana" w:cs="Times New Roman"/>
          <w:color w:val="000000"/>
        </w:rPr>
        <w:t>. Clinical signs of PRRS include reduced fertility, increased rate of abortions, reduced appetite, increased piglet mortality and respiratory distress.</w:t>
      </w:r>
    </w:p>
    <w:p w14:paraId="15C2A645" w14:textId="77777777" w:rsidR="000D1814" w:rsidRPr="000D1814" w:rsidRDefault="000D1814" w:rsidP="000D1814">
      <w:pPr>
        <w:numPr>
          <w:ilvl w:val="0"/>
          <w:numId w:val="2"/>
        </w:numPr>
        <w:spacing w:beforeAutospacing="1" w:afterAutospacing="1"/>
        <w:rPr>
          <w:rFonts w:ascii="Verdana" w:eastAsia="Times New Roman" w:hAnsi="Verdana" w:cs="Times New Roman"/>
          <w:color w:val="000000"/>
        </w:rPr>
      </w:pPr>
      <w:r w:rsidRPr="000D1814">
        <w:rPr>
          <w:rFonts w:ascii="Verdana" w:eastAsia="Times New Roman" w:hAnsi="Verdana" w:cs="Times New Roman"/>
          <w:color w:val="000000"/>
        </w:rPr>
        <w:t>It should be noted that sequence data indicating recombination between vaccine strains or between vaccine strains and wild types should be regarded as relevant </w:t>
      </w:r>
      <w:hyperlink r:id="rId62" w:tgtFrame="_blank" w:tooltip="Science and activities relating to the detection, assessment, understanding and prevention of adverse effects or any other medicine-related problem. &#13; &#13; More information can be found under 'Pharmacovigilance -  Overview'." w:history="1">
        <w:r w:rsidRPr="000D1814">
          <w:rPr>
            <w:rFonts w:ascii="Verdana" w:eastAsia="Times New Roman" w:hAnsi="Verdana" w:cs="Times New Roman"/>
            <w:color w:val="000000"/>
            <w:u w:val="single"/>
          </w:rPr>
          <w:t>pharmacovigilance</w:t>
        </w:r>
      </w:hyperlink>
      <w:r w:rsidRPr="000D1814">
        <w:rPr>
          <w:rFonts w:ascii="Verdana" w:eastAsia="Times New Roman" w:hAnsi="Verdana" w:cs="Times New Roman"/>
          <w:color w:val="000000"/>
        </w:rPr>
        <w:t> data and therefore should be reported.</w:t>
      </w:r>
    </w:p>
    <w:p w14:paraId="7F1D24C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83821"/>
    <w:multiLevelType w:val="multilevel"/>
    <w:tmpl w:val="F4FE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ED1207"/>
    <w:multiLevelType w:val="multilevel"/>
    <w:tmpl w:val="ACB2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6E"/>
    <w:rsid w:val="000D1814"/>
    <w:rsid w:val="00453EED"/>
    <w:rsid w:val="007F7F6E"/>
    <w:rsid w:val="00BE080D"/>
    <w:rsid w:val="00D81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5F211"/>
  <w14:defaultImageDpi w14:val="32767"/>
  <w15:chartTrackingRefBased/>
  <w15:docId w15:val="{3ADE7760-654A-614E-BA9E-22017193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D181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D181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81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D1814"/>
    <w:rPr>
      <w:rFonts w:ascii="Times New Roman" w:eastAsia="Times New Roman" w:hAnsi="Times New Roman" w:cs="Times New Roman"/>
      <w:b/>
      <w:bCs/>
    </w:rPr>
  </w:style>
  <w:style w:type="character" w:customStyle="1" w:styleId="apple-converted-space">
    <w:name w:val="apple-converted-space"/>
    <w:basedOn w:val="DefaultParagraphFont"/>
    <w:rsid w:val="000D1814"/>
  </w:style>
  <w:style w:type="character" w:customStyle="1" w:styleId="date-display-single">
    <w:name w:val="date-display-single"/>
    <w:basedOn w:val="DefaultParagraphFont"/>
    <w:rsid w:val="000D1814"/>
  </w:style>
  <w:style w:type="character" w:styleId="Hyperlink">
    <w:name w:val="Hyperlink"/>
    <w:basedOn w:val="DefaultParagraphFont"/>
    <w:uiPriority w:val="99"/>
    <w:semiHidden/>
    <w:unhideWhenUsed/>
    <w:rsid w:val="000D1814"/>
    <w:rPr>
      <w:color w:val="0000FF"/>
      <w:u w:val="single"/>
    </w:rPr>
  </w:style>
  <w:style w:type="paragraph" w:styleId="NormalWeb">
    <w:name w:val="Normal (Web)"/>
    <w:basedOn w:val="Normal"/>
    <w:uiPriority w:val="99"/>
    <w:semiHidden/>
    <w:unhideWhenUsed/>
    <w:rsid w:val="000D181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D18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524890">
      <w:bodyDiv w:val="1"/>
      <w:marLeft w:val="0"/>
      <w:marRight w:val="0"/>
      <w:marTop w:val="0"/>
      <w:marBottom w:val="0"/>
      <w:divBdr>
        <w:top w:val="none" w:sz="0" w:space="0" w:color="auto"/>
        <w:left w:val="none" w:sz="0" w:space="0" w:color="auto"/>
        <w:bottom w:val="none" w:sz="0" w:space="0" w:color="auto"/>
        <w:right w:val="none" w:sz="0" w:space="0" w:color="auto"/>
      </w:divBdr>
      <w:divsChild>
        <w:div w:id="455031394">
          <w:marLeft w:val="0"/>
          <w:marRight w:val="0"/>
          <w:marTop w:val="0"/>
          <w:marBottom w:val="0"/>
          <w:divBdr>
            <w:top w:val="none" w:sz="0" w:space="0" w:color="auto"/>
            <w:left w:val="none" w:sz="0" w:space="0" w:color="auto"/>
            <w:bottom w:val="none" w:sz="0" w:space="0" w:color="auto"/>
            <w:right w:val="none" w:sz="0" w:space="0" w:color="auto"/>
          </w:divBdr>
          <w:divsChild>
            <w:div w:id="1051005807">
              <w:marLeft w:val="0"/>
              <w:marRight w:val="0"/>
              <w:marTop w:val="0"/>
              <w:marBottom w:val="0"/>
              <w:divBdr>
                <w:top w:val="none" w:sz="0" w:space="0" w:color="auto"/>
                <w:left w:val="none" w:sz="0" w:space="0" w:color="auto"/>
                <w:bottom w:val="none" w:sz="0" w:space="0" w:color="auto"/>
                <w:right w:val="none" w:sz="0" w:space="0" w:color="auto"/>
              </w:divBdr>
            </w:div>
          </w:divsChild>
        </w:div>
        <w:div w:id="1672175892">
          <w:marLeft w:val="0"/>
          <w:marRight w:val="0"/>
          <w:marTop w:val="0"/>
          <w:marBottom w:val="0"/>
          <w:divBdr>
            <w:top w:val="none" w:sz="0" w:space="0" w:color="auto"/>
            <w:left w:val="none" w:sz="0" w:space="0" w:color="auto"/>
            <w:bottom w:val="none" w:sz="0" w:space="0" w:color="auto"/>
            <w:right w:val="none" w:sz="0" w:space="0" w:color="auto"/>
          </w:divBdr>
        </w:div>
        <w:div w:id="1143429108">
          <w:marLeft w:val="0"/>
          <w:marRight w:val="0"/>
          <w:marTop w:val="0"/>
          <w:marBottom w:val="0"/>
          <w:divBdr>
            <w:top w:val="none" w:sz="0" w:space="0" w:color="auto"/>
            <w:left w:val="none" w:sz="0" w:space="0" w:color="auto"/>
            <w:bottom w:val="none" w:sz="0" w:space="0" w:color="auto"/>
            <w:right w:val="none" w:sz="0" w:space="0" w:color="auto"/>
          </w:divBdr>
          <w:divsChild>
            <w:div w:id="1069382676">
              <w:marLeft w:val="0"/>
              <w:marRight w:val="0"/>
              <w:marTop w:val="0"/>
              <w:marBottom w:val="0"/>
              <w:divBdr>
                <w:top w:val="none" w:sz="0" w:space="0" w:color="auto"/>
                <w:left w:val="none" w:sz="0" w:space="0" w:color="auto"/>
                <w:bottom w:val="none" w:sz="0" w:space="0" w:color="auto"/>
                <w:right w:val="none" w:sz="0" w:space="0" w:color="auto"/>
              </w:divBdr>
              <w:divsChild>
                <w:div w:id="204372135">
                  <w:marLeft w:val="0"/>
                  <w:marRight w:val="0"/>
                  <w:marTop w:val="0"/>
                  <w:marBottom w:val="0"/>
                  <w:divBdr>
                    <w:top w:val="none" w:sz="0" w:space="0" w:color="auto"/>
                    <w:left w:val="none" w:sz="0" w:space="0" w:color="auto"/>
                    <w:bottom w:val="none" w:sz="0" w:space="0" w:color="auto"/>
                    <w:right w:val="none" w:sz="0" w:space="0" w:color="auto"/>
                  </w:divBdr>
                  <w:divsChild>
                    <w:div w:id="323752147">
                      <w:marLeft w:val="0"/>
                      <w:marRight w:val="0"/>
                      <w:marTop w:val="0"/>
                      <w:marBottom w:val="0"/>
                      <w:divBdr>
                        <w:top w:val="none" w:sz="0" w:space="0" w:color="auto"/>
                        <w:left w:val="none" w:sz="0" w:space="0" w:color="auto"/>
                        <w:bottom w:val="none" w:sz="0" w:space="0" w:color="auto"/>
                        <w:right w:val="none" w:sz="0" w:space="0" w:color="auto"/>
                      </w:divBdr>
                      <w:divsChild>
                        <w:div w:id="1777866050">
                          <w:marLeft w:val="0"/>
                          <w:marRight w:val="0"/>
                          <w:marTop w:val="0"/>
                          <w:marBottom w:val="0"/>
                          <w:divBdr>
                            <w:top w:val="none" w:sz="0" w:space="0" w:color="auto"/>
                            <w:left w:val="none" w:sz="0" w:space="0" w:color="auto"/>
                            <w:bottom w:val="none" w:sz="0" w:space="0" w:color="auto"/>
                            <w:right w:val="none" w:sz="0" w:space="0" w:color="auto"/>
                          </w:divBdr>
                          <w:divsChild>
                            <w:div w:id="1643542549">
                              <w:marLeft w:val="0"/>
                              <w:marRight w:val="0"/>
                              <w:marTop w:val="0"/>
                              <w:marBottom w:val="0"/>
                              <w:divBdr>
                                <w:top w:val="none" w:sz="0" w:space="0" w:color="auto"/>
                                <w:left w:val="none" w:sz="0" w:space="0" w:color="auto"/>
                                <w:bottom w:val="none" w:sz="0" w:space="0" w:color="auto"/>
                                <w:right w:val="none" w:sz="0" w:space="0" w:color="auto"/>
                              </w:divBdr>
                              <w:divsChild>
                                <w:div w:id="423183434">
                                  <w:marLeft w:val="0"/>
                                  <w:marRight w:val="0"/>
                                  <w:marTop w:val="0"/>
                                  <w:marBottom w:val="0"/>
                                  <w:divBdr>
                                    <w:top w:val="none" w:sz="0" w:space="0" w:color="auto"/>
                                    <w:left w:val="none" w:sz="0" w:space="0" w:color="auto"/>
                                    <w:bottom w:val="none" w:sz="0" w:space="0" w:color="auto"/>
                                    <w:right w:val="none" w:sz="0" w:space="0" w:color="auto"/>
                                  </w:divBdr>
                                  <w:divsChild>
                                    <w:div w:id="3396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a.europa.eu/en/glossary/type-ii-variation" TargetMode="External"/><Relationship Id="rId18" Type="http://schemas.openxmlformats.org/officeDocument/2006/relationships/hyperlink" Target="https://www.ema.europa.eu/en/glossary/variation" TargetMode="External"/><Relationship Id="rId26" Type="http://schemas.openxmlformats.org/officeDocument/2006/relationships/hyperlink" Target="https://www.ema.europa.eu/en/glossary/marketing-authorisation" TargetMode="External"/><Relationship Id="rId39" Type="http://schemas.openxmlformats.org/officeDocument/2006/relationships/hyperlink" Target="https://www.ema.europa.eu/en/glossary/efficacy" TargetMode="External"/><Relationship Id="rId21" Type="http://schemas.openxmlformats.org/officeDocument/2006/relationships/hyperlink" Target="https://www.ema.europa.eu/en/glossary/indication" TargetMode="External"/><Relationship Id="rId34" Type="http://schemas.openxmlformats.org/officeDocument/2006/relationships/hyperlink" Target="https://www.ema.europa.eu/en/glossary/cvmp" TargetMode="External"/><Relationship Id="rId42" Type="http://schemas.openxmlformats.org/officeDocument/2006/relationships/hyperlink" Target="https://www.ema.europa.eu/en/glossary/efficacy" TargetMode="External"/><Relationship Id="rId47" Type="http://schemas.openxmlformats.org/officeDocument/2006/relationships/hyperlink" Target="https://www.ema.europa.eu/en/glossary/scientific-advice" TargetMode="External"/><Relationship Id="rId50" Type="http://schemas.openxmlformats.org/officeDocument/2006/relationships/hyperlink" Target="https://www.ema.europa.eu/en/glossary/chmp" TargetMode="External"/><Relationship Id="rId55" Type="http://schemas.openxmlformats.org/officeDocument/2006/relationships/hyperlink" Target="https://www.ema.europa.eu/en/glossary/cvmp" TargetMode="External"/><Relationship Id="rId63" Type="http://schemas.openxmlformats.org/officeDocument/2006/relationships/fontTable" Target="fontTable.xml"/><Relationship Id="rId7" Type="http://schemas.openxmlformats.org/officeDocument/2006/relationships/hyperlink" Target="https://www.ema.europa.eu/en/glossary/indication" TargetMode="External"/><Relationship Id="rId2" Type="http://schemas.openxmlformats.org/officeDocument/2006/relationships/styles" Target="styles.xml"/><Relationship Id="rId16" Type="http://schemas.openxmlformats.org/officeDocument/2006/relationships/hyperlink" Target="https://www.ema.europa.eu/en/glossary/re-examination" TargetMode="External"/><Relationship Id="rId29" Type="http://schemas.openxmlformats.org/officeDocument/2006/relationships/hyperlink" Target="https://www.ema.europa.eu/en/glossary/active-substance" TargetMode="External"/><Relationship Id="rId11" Type="http://schemas.openxmlformats.org/officeDocument/2006/relationships/hyperlink" Target="https://www.ema.europa.eu/en/glossary/type-ii-variation" TargetMode="External"/><Relationship Id="rId24" Type="http://schemas.openxmlformats.org/officeDocument/2006/relationships/hyperlink" Target="https://www.ema.europa.eu/en/glossary/withdrawal-period" TargetMode="External"/><Relationship Id="rId32" Type="http://schemas.openxmlformats.org/officeDocument/2006/relationships/hyperlink" Target="https://www.ema.europa.eu/en/glossary/marketing-authorisation" TargetMode="External"/><Relationship Id="rId37" Type="http://schemas.openxmlformats.org/officeDocument/2006/relationships/hyperlink" Target="https://www.ema.europa.eu/en/glossary/medicinal-product" TargetMode="External"/><Relationship Id="rId40" Type="http://schemas.openxmlformats.org/officeDocument/2006/relationships/hyperlink" Target="https://www.ema.europa.eu/en/glossary/medicinal-product" TargetMode="External"/><Relationship Id="rId45" Type="http://schemas.openxmlformats.org/officeDocument/2006/relationships/hyperlink" Target="https://www.ema.europa.eu/en/glossary/cvmp" TargetMode="External"/><Relationship Id="rId53" Type="http://schemas.openxmlformats.org/officeDocument/2006/relationships/hyperlink" Target="https://www.ema.europa.eu/en/glossary/guideline" TargetMode="External"/><Relationship Id="rId58" Type="http://schemas.openxmlformats.org/officeDocument/2006/relationships/hyperlink" Target="https://www.ema.europa.eu/en/glossary/adverse-event" TargetMode="External"/><Relationship Id="rId5" Type="http://schemas.openxmlformats.org/officeDocument/2006/relationships/hyperlink" Target="https://www.ema.europa.eu/en/glossary/cvmp" TargetMode="External"/><Relationship Id="rId61" Type="http://schemas.openxmlformats.org/officeDocument/2006/relationships/hyperlink" Target="https://www.ema.europa.eu/en/glossary/marketing-authorisation-holder" TargetMode="External"/><Relationship Id="rId19" Type="http://schemas.openxmlformats.org/officeDocument/2006/relationships/hyperlink" Target="https://www.ema.europa.eu/en/glossary/cvmp" TargetMode="External"/><Relationship Id="rId14" Type="http://schemas.openxmlformats.org/officeDocument/2006/relationships/hyperlink" Target="https://www.ema.europa.eu/en/glossary/type-ii-variation" TargetMode="External"/><Relationship Id="rId22" Type="http://schemas.openxmlformats.org/officeDocument/2006/relationships/hyperlink" Target="https://www.ema.europa.eu/en/glossary/referral" TargetMode="External"/><Relationship Id="rId27" Type="http://schemas.openxmlformats.org/officeDocument/2006/relationships/hyperlink" Target="https://www.ema.europa.eu/en/glossary/referral" TargetMode="External"/><Relationship Id="rId30" Type="http://schemas.openxmlformats.org/officeDocument/2006/relationships/hyperlink" Target="https://www.ema.europa.eu/en/glossary/withdrawal-period" TargetMode="External"/><Relationship Id="rId35" Type="http://schemas.openxmlformats.org/officeDocument/2006/relationships/hyperlink" Target="https://www.ema.europa.eu/en/glossary/scientific-advice" TargetMode="External"/><Relationship Id="rId43" Type="http://schemas.openxmlformats.org/officeDocument/2006/relationships/hyperlink" Target="https://www.ema.europa.eu/en/glossary/medicinal-product" TargetMode="External"/><Relationship Id="rId48" Type="http://schemas.openxmlformats.org/officeDocument/2006/relationships/hyperlink" Target="https://www.ema.europa.eu/en/glossary/scientific-advice" TargetMode="External"/><Relationship Id="rId56" Type="http://schemas.openxmlformats.org/officeDocument/2006/relationships/hyperlink" Target="https://www.ema.europa.eu/en/glossary/cvmp" TargetMode="External"/><Relationship Id="rId64" Type="http://schemas.openxmlformats.org/officeDocument/2006/relationships/theme" Target="theme/theme1.xml"/><Relationship Id="rId8" Type="http://schemas.openxmlformats.org/officeDocument/2006/relationships/hyperlink" Target="https://www.ema.europa.eu/en/glossary/product-information" TargetMode="External"/><Relationship Id="rId51" Type="http://schemas.openxmlformats.org/officeDocument/2006/relationships/hyperlink" Target="https://www.ema.europa.eu/en/glossary/guideline" TargetMode="External"/><Relationship Id="rId3" Type="http://schemas.openxmlformats.org/officeDocument/2006/relationships/settings" Target="settings.xml"/><Relationship Id="rId12" Type="http://schemas.openxmlformats.org/officeDocument/2006/relationships/hyperlink" Target="https://www.ema.europa.eu/en/glossary/product-information" TargetMode="External"/><Relationship Id="rId17" Type="http://schemas.openxmlformats.org/officeDocument/2006/relationships/hyperlink" Target="https://www.ema.europa.eu/en/glossary/marketing-authorisation" TargetMode="External"/><Relationship Id="rId25" Type="http://schemas.openxmlformats.org/officeDocument/2006/relationships/hyperlink" Target="https://www.ema.europa.eu/en/glossary/medicinal-product" TargetMode="External"/><Relationship Id="rId33" Type="http://schemas.openxmlformats.org/officeDocument/2006/relationships/hyperlink" Target="https://www.ema.europa.eu/en/glossary/product-information" TargetMode="External"/><Relationship Id="rId38" Type="http://schemas.openxmlformats.org/officeDocument/2006/relationships/hyperlink" Target="https://www.ema.europa.eu/en/glossary/indication" TargetMode="External"/><Relationship Id="rId46" Type="http://schemas.openxmlformats.org/officeDocument/2006/relationships/hyperlink" Target="https://www.ema.europa.eu/en/glossary/scientific-advice" TargetMode="External"/><Relationship Id="rId59" Type="http://schemas.openxmlformats.org/officeDocument/2006/relationships/hyperlink" Target="https://www.ema.europa.eu/en/glossary/adverse-event" TargetMode="External"/><Relationship Id="rId20" Type="http://schemas.openxmlformats.org/officeDocument/2006/relationships/hyperlink" Target="https://www.ema.europa.eu/en/glossary/marketing-authorisation" TargetMode="External"/><Relationship Id="rId41" Type="http://schemas.openxmlformats.org/officeDocument/2006/relationships/hyperlink" Target="https://www.ema.europa.eu/en/glossary/indication" TargetMode="External"/><Relationship Id="rId54" Type="http://schemas.openxmlformats.org/officeDocument/2006/relationships/hyperlink" Target="https://www.ema.europa.eu/en/glossary/cvmp" TargetMode="External"/><Relationship Id="rId62" Type="http://schemas.openxmlformats.org/officeDocument/2006/relationships/hyperlink" Target="https://www.ema.europa.eu/en/glossary/pharmacovigilance" TargetMode="External"/><Relationship Id="rId1" Type="http://schemas.openxmlformats.org/officeDocument/2006/relationships/numbering" Target="numbering.xml"/><Relationship Id="rId6" Type="http://schemas.openxmlformats.org/officeDocument/2006/relationships/hyperlink" Target="https://www.ema.europa.eu/en/glossary/type-ii-variation" TargetMode="External"/><Relationship Id="rId15" Type="http://schemas.openxmlformats.org/officeDocument/2006/relationships/hyperlink" Target="https://www.ema.europa.eu/en/glossary/type-ii-variation" TargetMode="External"/><Relationship Id="rId23" Type="http://schemas.openxmlformats.org/officeDocument/2006/relationships/hyperlink" Target="https://www.ema.europa.eu/en/glossary/reference-member-state" TargetMode="External"/><Relationship Id="rId28" Type="http://schemas.openxmlformats.org/officeDocument/2006/relationships/hyperlink" Target="https://www.ema.europa.eu/en/glossary/medicinal-product" TargetMode="External"/><Relationship Id="rId36" Type="http://schemas.openxmlformats.org/officeDocument/2006/relationships/hyperlink" Target="https://www.ema.europa.eu/en/glossary/efficacy" TargetMode="External"/><Relationship Id="rId49" Type="http://schemas.openxmlformats.org/officeDocument/2006/relationships/hyperlink" Target="https://www.ema.europa.eu/en/glossary/chmp" TargetMode="External"/><Relationship Id="rId57" Type="http://schemas.openxmlformats.org/officeDocument/2006/relationships/hyperlink" Target="https://www.ema.europa.eu/en/glossary/cvmp" TargetMode="External"/><Relationship Id="rId10" Type="http://schemas.openxmlformats.org/officeDocument/2006/relationships/hyperlink" Target="https://www.ema.europa.eu/en/glossary/type-ii-variation" TargetMode="External"/><Relationship Id="rId31" Type="http://schemas.openxmlformats.org/officeDocument/2006/relationships/hyperlink" Target="https://www.ema.europa.eu/en/glossary/withdrawal-period" TargetMode="External"/><Relationship Id="rId44" Type="http://schemas.openxmlformats.org/officeDocument/2006/relationships/hyperlink" Target="https://www.ema.europa.eu/en/glossary/indication" TargetMode="External"/><Relationship Id="rId52" Type="http://schemas.openxmlformats.org/officeDocument/2006/relationships/hyperlink" Target="https://www.ema.europa.eu/en/glossary/medicinal-product" TargetMode="External"/><Relationship Id="rId60" Type="http://schemas.openxmlformats.org/officeDocument/2006/relationships/hyperlink" Target="https://www.ema.europa.eu/en/glossary/national-competent-authority" TargetMode="External"/><Relationship Id="rId4" Type="http://schemas.openxmlformats.org/officeDocument/2006/relationships/webSettings" Target="webSettings.xml"/><Relationship Id="rId9" Type="http://schemas.openxmlformats.org/officeDocument/2006/relationships/hyperlink" Target="https://www.ema.europa.eu/en/glossary/type-ii-var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4205</Words>
  <Characters>23970</Characters>
  <Application>Microsoft Office Word</Application>
  <DocSecurity>0</DocSecurity>
  <Lines>199</Lines>
  <Paragraphs>56</Paragraphs>
  <ScaleCrop>false</ScaleCrop>
  <Company/>
  <LinksUpToDate>false</LinksUpToDate>
  <CharactersWithSpaces>28119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2020-02-18T10:38:00Z</dcterms:created>
  <dcterms:modified xsi:type="dcterms:W3CDTF">2020-05-11T09:38:00Z</dcterms:modified>
</cp:coreProperties>
</file>