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E315" w14:textId="77777777" w:rsidR="00624FBC" w:rsidRPr="00624FBC" w:rsidRDefault="00624FBC" w:rsidP="00624FBC">
      <w:pPr>
        <w:spacing w:after="150" w:line="456" w:lineRule="atLeast"/>
        <w:outlineLvl w:val="0"/>
        <w:rPr>
          <w:rFonts w:ascii="Helvetica Neue" w:eastAsia="Times New Roman" w:hAnsi="Helvetica Neue" w:cs="Times New Roman"/>
          <w:b/>
          <w:bCs/>
          <w:color w:val="4C4C4C"/>
          <w:kern w:val="36"/>
          <w:sz w:val="38"/>
          <w:szCs w:val="38"/>
        </w:rPr>
      </w:pPr>
      <w:r w:rsidRPr="00624FBC">
        <w:rPr>
          <w:rFonts w:ascii="Helvetica Neue" w:eastAsia="Times New Roman" w:hAnsi="Helvetica Neue" w:cs="Times New Roman"/>
          <w:b/>
          <w:bCs/>
          <w:color w:val="4C4C4C"/>
          <w:kern w:val="36"/>
          <w:sz w:val="38"/>
          <w:szCs w:val="38"/>
        </w:rPr>
        <w:t>EMCDDA Best practice portal update</w:t>
      </w:r>
    </w:p>
    <w:p w14:paraId="6E48D05F" w14:textId="77777777" w:rsidR="00624FBC" w:rsidRPr="00624FBC" w:rsidRDefault="00624FBC" w:rsidP="00624FBC">
      <w:pPr>
        <w:spacing w:before="300" w:after="150" w:line="408" w:lineRule="atLeast"/>
        <w:outlineLvl w:val="2"/>
        <w:rPr>
          <w:rFonts w:ascii="Helvetica Neue" w:eastAsia="Times New Roman" w:hAnsi="Helvetica Neue" w:cs="Times New Roman"/>
          <w:b/>
          <w:bCs/>
          <w:color w:val="4B4B4B"/>
          <w:sz w:val="34"/>
          <w:szCs w:val="34"/>
        </w:rPr>
      </w:pPr>
      <w:bookmarkStart w:id="0" w:name="_GoBack"/>
      <w:bookmarkEnd w:id="0"/>
      <w:r w:rsidRPr="00624FBC">
        <w:rPr>
          <w:rFonts w:ascii="Helvetica Neue" w:eastAsia="Times New Roman" w:hAnsi="Helvetica Neue" w:cs="Times New Roman"/>
          <w:b/>
          <w:bCs/>
          <w:color w:val="4B4B4B"/>
          <w:sz w:val="34"/>
          <w:szCs w:val="34"/>
        </w:rPr>
        <w:t>Psychosocial interventions to reduce cocaine and amphetamine use</w:t>
      </w:r>
    </w:p>
    <w:p w14:paraId="7A6EBC3A" w14:textId="77777777" w:rsidR="00624FBC" w:rsidRPr="00624FBC" w:rsidRDefault="00624FBC" w:rsidP="00624FBC">
      <w:pPr>
        <w:spacing w:after="375"/>
        <w:rPr>
          <w:rFonts w:ascii="Helvetica Neue" w:eastAsia="Times New Roman" w:hAnsi="Helvetica Neue" w:cs="Times New Roman"/>
          <w:color w:val="333333"/>
          <w:sz w:val="25"/>
          <w:szCs w:val="25"/>
        </w:rPr>
      </w:pPr>
      <w:r w:rsidRPr="006B25CC">
        <w:rPr>
          <w:rFonts w:ascii="Helvetica Neue" w:eastAsia="Times New Roman" w:hAnsi="Helvetica Neue" w:cs="Times New Roman"/>
          <w:color w:val="333333"/>
          <w:sz w:val="25"/>
          <w:szCs w:val="25"/>
          <w:highlight w:val="darkGray"/>
        </w:rPr>
        <w:t>Prolonged use of stimulants such as amphetamines and cocaine may result in significant mental and physical illness but, to date, there is no widely accepted treatment. Psychosocial interventions are often the first-line of action as there are no pharmacotherapies approved for its treatment. However, little is known about which interventions, if any, are more effective for the treatment of these disorders.</w:t>
      </w:r>
      <w:r w:rsidRPr="00624FBC">
        <w:rPr>
          <w:rFonts w:ascii="Helvetica Neue" w:eastAsia="Times New Roman" w:hAnsi="Helvetica Neue" w:cs="Times New Roman"/>
          <w:color w:val="333333"/>
          <w:sz w:val="25"/>
          <w:szCs w:val="25"/>
        </w:rPr>
        <w:t> </w:t>
      </w:r>
    </w:p>
    <w:p w14:paraId="0537F6AF" w14:textId="77777777" w:rsidR="00624FBC" w:rsidRPr="00624FBC" w:rsidRDefault="00624FBC" w:rsidP="00624FBC">
      <w:pPr>
        <w:spacing w:after="375"/>
        <w:rPr>
          <w:rFonts w:ascii="Helvetica Neue" w:eastAsia="Times New Roman" w:hAnsi="Helvetica Neue" w:cs="Times New Roman"/>
          <w:color w:val="333333"/>
          <w:sz w:val="25"/>
          <w:szCs w:val="25"/>
        </w:rPr>
      </w:pPr>
      <w:r w:rsidRPr="006B25CC">
        <w:rPr>
          <w:rFonts w:ascii="Helvetica Neue" w:eastAsia="Times New Roman" w:hAnsi="Helvetica Neue" w:cs="Times New Roman"/>
          <w:color w:val="333333"/>
          <w:sz w:val="25"/>
          <w:szCs w:val="25"/>
          <w:highlight w:val="darkGray"/>
        </w:rPr>
        <w:t>Further to the previous Best practice portal (BPP) newsletter, which addressed recent evidence on treatment options for amphetamine-type stimulant disorders, we found new evidence on psychosocial interventions to reduce cocaine and amphetamine use.</w:t>
      </w:r>
      <w:r w:rsidRPr="00624FBC">
        <w:rPr>
          <w:rFonts w:ascii="Helvetica Neue" w:eastAsia="Times New Roman" w:hAnsi="Helvetica Neue" w:cs="Times New Roman"/>
          <w:color w:val="333333"/>
          <w:sz w:val="25"/>
          <w:szCs w:val="25"/>
        </w:rPr>
        <w:t> </w:t>
      </w:r>
    </w:p>
    <w:p w14:paraId="4EFF438E" w14:textId="77777777" w:rsidR="00624FBC" w:rsidRPr="00624FBC" w:rsidRDefault="00624FBC" w:rsidP="00624FBC">
      <w:pPr>
        <w:spacing w:after="375"/>
        <w:rPr>
          <w:rFonts w:ascii="Helvetica Neue" w:eastAsia="Times New Roman" w:hAnsi="Helvetica Neue" w:cs="Times New Roman"/>
          <w:color w:val="333333"/>
          <w:sz w:val="25"/>
          <w:szCs w:val="25"/>
        </w:rPr>
      </w:pPr>
      <w:r w:rsidRPr="006B25CC">
        <w:rPr>
          <w:rFonts w:ascii="Helvetica Neue" w:eastAsia="Times New Roman" w:hAnsi="Helvetica Neue" w:cs="Times New Roman"/>
          <w:color w:val="333333"/>
          <w:sz w:val="25"/>
          <w:szCs w:val="25"/>
          <w:highlight w:val="darkGray"/>
        </w:rPr>
        <w:t>A </w:t>
      </w:r>
      <w:hyperlink r:id="rId5" w:tgtFrame="_blank" w:history="1">
        <w:r w:rsidRPr="006B25CC">
          <w:rPr>
            <w:rFonts w:ascii="Helvetica Neue" w:eastAsia="Times New Roman" w:hAnsi="Helvetica Neue" w:cs="Times New Roman"/>
            <w:color w:val="337AB7"/>
            <w:sz w:val="25"/>
            <w:szCs w:val="25"/>
            <w:highlight w:val="darkGray"/>
            <w:u w:val="single"/>
          </w:rPr>
          <w:t>recent systematic review</w:t>
        </w:r>
      </w:hyperlink>
      <w:r w:rsidRPr="006B25CC">
        <w:rPr>
          <w:rFonts w:ascii="Helvetica Neue" w:eastAsia="Times New Roman" w:hAnsi="Helvetica Neue" w:cs="Times New Roman"/>
          <w:color w:val="333333"/>
          <w:sz w:val="25"/>
          <w:szCs w:val="25"/>
          <w:highlight w:val="darkGray"/>
        </w:rPr>
        <w:t> compared the efficacy of different psychosocial interventions, alone or in combination, to reduce cocaine and amphetamine use. It found that contingency management combined with community reinforcement approaches appears to be the most efficient psychosocial intervention for the treatment of these disorders.</w:t>
      </w:r>
      <w:r w:rsidRPr="00624FBC">
        <w:rPr>
          <w:rFonts w:ascii="Helvetica Neue" w:eastAsia="Times New Roman" w:hAnsi="Helvetica Neue" w:cs="Times New Roman"/>
          <w:color w:val="333333"/>
          <w:sz w:val="25"/>
          <w:szCs w:val="25"/>
        </w:rPr>
        <w:t> </w:t>
      </w:r>
    </w:p>
    <w:p w14:paraId="31CF9054" w14:textId="77777777" w:rsidR="00624FBC" w:rsidRPr="00624FBC" w:rsidRDefault="00624FBC" w:rsidP="00624FBC">
      <w:pPr>
        <w:spacing w:after="375"/>
        <w:rPr>
          <w:rFonts w:ascii="Helvetica Neue" w:eastAsia="Times New Roman" w:hAnsi="Helvetica Neue" w:cs="Times New Roman"/>
          <w:color w:val="333333"/>
          <w:sz w:val="25"/>
          <w:szCs w:val="25"/>
        </w:rPr>
      </w:pPr>
      <w:r w:rsidRPr="006B25CC">
        <w:rPr>
          <w:rFonts w:ascii="Helvetica Neue" w:eastAsia="Times New Roman" w:hAnsi="Helvetica Neue" w:cs="Times New Roman"/>
          <w:color w:val="333333"/>
          <w:sz w:val="25"/>
          <w:szCs w:val="25"/>
          <w:highlight w:val="darkGray"/>
        </w:rPr>
        <w:t xml:space="preserve">Contingency management is a </w:t>
      </w:r>
      <w:proofErr w:type="spellStart"/>
      <w:r w:rsidRPr="006B25CC">
        <w:rPr>
          <w:rFonts w:ascii="Helvetica Neue" w:eastAsia="Times New Roman" w:hAnsi="Helvetica Neue" w:cs="Times New Roman"/>
          <w:color w:val="333333"/>
          <w:sz w:val="25"/>
          <w:szCs w:val="25"/>
          <w:highlight w:val="darkGray"/>
        </w:rPr>
        <w:t>behavioural</w:t>
      </w:r>
      <w:proofErr w:type="spellEnd"/>
      <w:r w:rsidRPr="006B25CC">
        <w:rPr>
          <w:rFonts w:ascii="Helvetica Neue" w:eastAsia="Times New Roman" w:hAnsi="Helvetica Neue" w:cs="Times New Roman"/>
          <w:color w:val="333333"/>
          <w:sz w:val="25"/>
          <w:szCs w:val="25"/>
          <w:highlight w:val="darkGray"/>
        </w:rPr>
        <w:t xml:space="preserve"> approach that consists of rewarding individuals for evidence of positive </w:t>
      </w:r>
      <w:proofErr w:type="spellStart"/>
      <w:r w:rsidRPr="006B25CC">
        <w:rPr>
          <w:rFonts w:ascii="Helvetica Neue" w:eastAsia="Times New Roman" w:hAnsi="Helvetica Neue" w:cs="Times New Roman"/>
          <w:color w:val="333333"/>
          <w:sz w:val="25"/>
          <w:szCs w:val="25"/>
          <w:highlight w:val="darkGray"/>
        </w:rPr>
        <w:t>behavioural</w:t>
      </w:r>
      <w:proofErr w:type="spellEnd"/>
      <w:r w:rsidRPr="006B25CC">
        <w:rPr>
          <w:rFonts w:ascii="Helvetica Neue" w:eastAsia="Times New Roman" w:hAnsi="Helvetica Neue" w:cs="Times New Roman"/>
          <w:color w:val="333333"/>
          <w:sz w:val="25"/>
          <w:szCs w:val="25"/>
          <w:highlight w:val="darkGray"/>
        </w:rPr>
        <w:t xml:space="preserve"> change. When applied to the treatment of substance use disorders, contingency management provides users with rewards upon drug-free urine samples. A community reinforcement approach is a multi-layered </w:t>
      </w:r>
      <w:proofErr w:type="spellStart"/>
      <w:r w:rsidRPr="006B25CC">
        <w:rPr>
          <w:rFonts w:ascii="Helvetica Neue" w:eastAsia="Times New Roman" w:hAnsi="Helvetica Neue" w:cs="Times New Roman"/>
          <w:color w:val="333333"/>
          <w:sz w:val="25"/>
          <w:szCs w:val="25"/>
          <w:highlight w:val="darkGray"/>
        </w:rPr>
        <w:t>behavioural</w:t>
      </w:r>
      <w:proofErr w:type="spellEnd"/>
      <w:r w:rsidRPr="006B25CC">
        <w:rPr>
          <w:rFonts w:ascii="Helvetica Neue" w:eastAsia="Times New Roman" w:hAnsi="Helvetica Neue" w:cs="Times New Roman"/>
          <w:color w:val="333333"/>
          <w:sz w:val="25"/>
          <w:szCs w:val="25"/>
          <w:highlight w:val="darkGray"/>
        </w:rPr>
        <w:t xml:space="preserve"> treatment intervention to help individuals adjust their lifestyles so that healthy living becomes more rewarding and enjoyable than substance use. It involves functional analysis of substance use, coping-skills training, relapse prevention, and social, familial, recreational, and vocational reinforcements.</w:t>
      </w:r>
    </w:p>
    <w:p w14:paraId="02E0B605" w14:textId="77777777" w:rsidR="00624FBC" w:rsidRPr="006B25CC" w:rsidRDefault="00624FBC" w:rsidP="00624FBC">
      <w:pPr>
        <w:spacing w:before="300" w:after="150" w:line="408" w:lineRule="atLeast"/>
        <w:outlineLvl w:val="2"/>
        <w:rPr>
          <w:rFonts w:ascii="Helvetica Neue" w:eastAsia="Times New Roman" w:hAnsi="Helvetica Neue" w:cs="Times New Roman"/>
          <w:b/>
          <w:bCs/>
          <w:color w:val="4B4B4B"/>
          <w:sz w:val="34"/>
          <w:szCs w:val="34"/>
          <w:highlight w:val="darkGray"/>
        </w:rPr>
      </w:pPr>
      <w:r w:rsidRPr="006B25CC">
        <w:rPr>
          <w:rFonts w:ascii="Helvetica Neue" w:eastAsia="Times New Roman" w:hAnsi="Helvetica Neue" w:cs="Times New Roman"/>
          <w:b/>
          <w:bCs/>
          <w:color w:val="4B4B4B"/>
          <w:sz w:val="34"/>
          <w:szCs w:val="34"/>
          <w:highlight w:val="darkGray"/>
        </w:rPr>
        <w:t xml:space="preserve">Prescription monitoring </w:t>
      </w:r>
      <w:proofErr w:type="spellStart"/>
      <w:r w:rsidRPr="006B25CC">
        <w:rPr>
          <w:rFonts w:ascii="Helvetica Neue" w:eastAsia="Times New Roman" w:hAnsi="Helvetica Neue" w:cs="Times New Roman"/>
          <w:b/>
          <w:bCs/>
          <w:color w:val="4B4B4B"/>
          <w:sz w:val="34"/>
          <w:szCs w:val="34"/>
          <w:highlight w:val="darkGray"/>
        </w:rPr>
        <w:t>programmes</w:t>
      </w:r>
      <w:proofErr w:type="spellEnd"/>
    </w:p>
    <w:p w14:paraId="01B38695" w14:textId="77777777" w:rsidR="00624FBC" w:rsidRPr="006B25CC" w:rsidRDefault="00624FBC" w:rsidP="00624FBC">
      <w:pPr>
        <w:spacing w:after="375"/>
        <w:rPr>
          <w:rFonts w:ascii="Helvetica Neue" w:eastAsia="Times New Roman" w:hAnsi="Helvetica Neue" w:cs="Times New Roman"/>
          <w:color w:val="333333"/>
          <w:sz w:val="25"/>
          <w:szCs w:val="25"/>
          <w:highlight w:val="darkGray"/>
        </w:rPr>
      </w:pPr>
      <w:r w:rsidRPr="006B25CC">
        <w:rPr>
          <w:rFonts w:ascii="Helvetica Neue" w:eastAsia="Times New Roman" w:hAnsi="Helvetica Neue" w:cs="Times New Roman"/>
          <w:color w:val="333333"/>
          <w:sz w:val="25"/>
          <w:szCs w:val="25"/>
          <w:highlight w:val="darkGray"/>
        </w:rPr>
        <w:t xml:space="preserve">Prescription monitoring </w:t>
      </w:r>
      <w:proofErr w:type="spellStart"/>
      <w:r w:rsidRPr="006B25CC">
        <w:rPr>
          <w:rFonts w:ascii="Helvetica Neue" w:eastAsia="Times New Roman" w:hAnsi="Helvetica Neue" w:cs="Times New Roman"/>
          <w:color w:val="333333"/>
          <w:sz w:val="25"/>
          <w:szCs w:val="25"/>
          <w:highlight w:val="darkGray"/>
        </w:rPr>
        <w:t>programmes</w:t>
      </w:r>
      <w:proofErr w:type="spellEnd"/>
      <w:r w:rsidRPr="006B25CC">
        <w:rPr>
          <w:rFonts w:ascii="Helvetica Neue" w:eastAsia="Times New Roman" w:hAnsi="Helvetica Neue" w:cs="Times New Roman"/>
          <w:color w:val="333333"/>
          <w:sz w:val="25"/>
          <w:szCs w:val="25"/>
          <w:highlight w:val="darkGray"/>
        </w:rPr>
        <w:t xml:space="preserve"> (PMPs) seek to prevent the overuse and misuse of prescription drugs by compiling and monitoring data on the prescribing practices of healthcare providers and on the medications that patients receive. A recent systematic review found </w:t>
      </w:r>
      <w:hyperlink r:id="rId6" w:tgtFrame="_blank" w:history="1">
        <w:r w:rsidRPr="006B25CC">
          <w:rPr>
            <w:rFonts w:ascii="Helvetica Neue" w:eastAsia="Times New Roman" w:hAnsi="Helvetica Neue" w:cs="Times New Roman"/>
            <w:color w:val="337AB7"/>
            <w:sz w:val="25"/>
            <w:szCs w:val="25"/>
            <w:highlight w:val="darkGray"/>
            <w:u w:val="single"/>
          </w:rPr>
          <w:t>no significant evidence of effect of PMPs on opioid prescribing and dispensing</w:t>
        </w:r>
      </w:hyperlink>
      <w:r w:rsidRPr="006B25CC">
        <w:rPr>
          <w:rFonts w:ascii="Helvetica Neue" w:eastAsia="Times New Roman" w:hAnsi="Helvetica Neue" w:cs="Times New Roman"/>
          <w:color w:val="333333"/>
          <w:sz w:val="25"/>
          <w:szCs w:val="25"/>
          <w:highlight w:val="darkGray"/>
        </w:rPr>
        <w:t>. Further studies are needed to determine its effectiveness.</w:t>
      </w:r>
    </w:p>
    <w:p w14:paraId="5F3EAE6A" w14:textId="77777777" w:rsidR="00624FBC" w:rsidRPr="006B25CC" w:rsidRDefault="00624FBC" w:rsidP="00624FBC">
      <w:pPr>
        <w:spacing w:before="300" w:after="150" w:line="408" w:lineRule="atLeast"/>
        <w:outlineLvl w:val="2"/>
        <w:rPr>
          <w:rFonts w:ascii="Helvetica Neue" w:eastAsia="Times New Roman" w:hAnsi="Helvetica Neue" w:cs="Times New Roman"/>
          <w:b/>
          <w:bCs/>
          <w:color w:val="4B4B4B"/>
          <w:sz w:val="34"/>
          <w:szCs w:val="34"/>
          <w:highlight w:val="darkGray"/>
        </w:rPr>
      </w:pPr>
      <w:r w:rsidRPr="006B25CC">
        <w:rPr>
          <w:rFonts w:ascii="Helvetica Neue" w:eastAsia="Times New Roman" w:hAnsi="Helvetica Neue" w:cs="Times New Roman"/>
          <w:b/>
          <w:bCs/>
          <w:color w:val="4B4B4B"/>
          <w:sz w:val="34"/>
          <w:szCs w:val="34"/>
          <w:highlight w:val="darkGray"/>
        </w:rPr>
        <w:lastRenderedPageBreak/>
        <w:t>Telemedicine-delivered treatment interventions </w:t>
      </w:r>
    </w:p>
    <w:p w14:paraId="02B5F066" w14:textId="77777777" w:rsidR="00624FBC" w:rsidRPr="006B25CC" w:rsidRDefault="00624FBC" w:rsidP="00624FBC">
      <w:pPr>
        <w:spacing w:after="375"/>
        <w:rPr>
          <w:rFonts w:ascii="Helvetica Neue" w:eastAsia="Times New Roman" w:hAnsi="Helvetica Neue" w:cs="Times New Roman"/>
          <w:color w:val="333333"/>
          <w:sz w:val="25"/>
          <w:szCs w:val="25"/>
          <w:highlight w:val="darkGray"/>
        </w:rPr>
      </w:pPr>
      <w:r w:rsidRPr="006B25CC">
        <w:rPr>
          <w:rFonts w:ascii="Helvetica Neue" w:eastAsia="Times New Roman" w:hAnsi="Helvetica Neue" w:cs="Times New Roman"/>
          <w:color w:val="333333"/>
          <w:sz w:val="25"/>
          <w:szCs w:val="25"/>
          <w:highlight w:val="darkGray"/>
        </w:rPr>
        <w:t>In the new round of updates to the Best practice portal, we found </w:t>
      </w:r>
      <w:hyperlink r:id="rId7" w:tgtFrame="_blank" w:history="1">
        <w:r w:rsidRPr="006B25CC">
          <w:rPr>
            <w:rFonts w:ascii="Helvetica Neue" w:eastAsia="Times New Roman" w:hAnsi="Helvetica Neue" w:cs="Times New Roman"/>
            <w:color w:val="337AB7"/>
            <w:sz w:val="25"/>
            <w:szCs w:val="25"/>
            <w:highlight w:val="darkGray"/>
            <w:u w:val="single"/>
          </w:rPr>
          <w:t>there were insufficient data to conclude that telemedicine-delivered treatment interventions are effective, or ineffective, in treating substance use disorders</w:t>
        </w:r>
      </w:hyperlink>
      <w:r w:rsidRPr="006B25CC">
        <w:rPr>
          <w:rFonts w:ascii="Helvetica Neue" w:eastAsia="Times New Roman" w:hAnsi="Helvetica Neue" w:cs="Times New Roman"/>
          <w:color w:val="333333"/>
          <w:sz w:val="25"/>
          <w:szCs w:val="25"/>
          <w:highlight w:val="darkGray"/>
        </w:rPr>
        <w:t>. However, studies examined in a recent systematic review suggest that this type of intervention may be an effective alternative when face-to-face treatment is less available.</w:t>
      </w:r>
    </w:p>
    <w:p w14:paraId="18D4275D" w14:textId="77777777" w:rsidR="00624FBC" w:rsidRPr="006B25CC" w:rsidRDefault="00624FBC" w:rsidP="00624FBC">
      <w:pPr>
        <w:spacing w:before="300" w:after="150" w:line="408" w:lineRule="atLeast"/>
        <w:outlineLvl w:val="2"/>
        <w:rPr>
          <w:rFonts w:ascii="Helvetica Neue" w:eastAsia="Times New Roman" w:hAnsi="Helvetica Neue" w:cs="Times New Roman"/>
          <w:b/>
          <w:bCs/>
          <w:color w:val="4B4B4B"/>
          <w:sz w:val="34"/>
          <w:szCs w:val="34"/>
          <w:highlight w:val="darkGray"/>
        </w:rPr>
      </w:pPr>
      <w:r w:rsidRPr="006B25CC">
        <w:rPr>
          <w:rFonts w:ascii="Helvetica Neue" w:eastAsia="Times New Roman" w:hAnsi="Helvetica Neue" w:cs="Times New Roman"/>
          <w:b/>
          <w:bCs/>
          <w:color w:val="4B4B4B"/>
          <w:sz w:val="34"/>
          <w:szCs w:val="34"/>
          <w:highlight w:val="darkGray"/>
        </w:rPr>
        <w:t>Other BPP updates</w:t>
      </w:r>
    </w:p>
    <w:p w14:paraId="1DF6D802" w14:textId="77777777" w:rsidR="00624FBC" w:rsidRPr="006B25CC" w:rsidRDefault="00624FBC" w:rsidP="00624FBC">
      <w:pPr>
        <w:spacing w:after="375"/>
        <w:rPr>
          <w:rFonts w:ascii="Helvetica Neue" w:eastAsia="Times New Roman" w:hAnsi="Helvetica Neue" w:cs="Times New Roman"/>
          <w:color w:val="333333"/>
          <w:sz w:val="25"/>
          <w:szCs w:val="25"/>
          <w:highlight w:val="darkGray"/>
        </w:rPr>
      </w:pPr>
      <w:r w:rsidRPr="006B25CC">
        <w:rPr>
          <w:rFonts w:ascii="Helvetica Neue" w:eastAsia="Times New Roman" w:hAnsi="Helvetica Neue" w:cs="Times New Roman"/>
          <w:color w:val="333333"/>
          <w:sz w:val="25"/>
          <w:szCs w:val="25"/>
          <w:highlight w:val="darkGray"/>
        </w:rPr>
        <w:t xml:space="preserve">In this new round of </w:t>
      </w:r>
      <w:proofErr w:type="gramStart"/>
      <w:r w:rsidRPr="006B25CC">
        <w:rPr>
          <w:rFonts w:ascii="Helvetica Neue" w:eastAsia="Times New Roman" w:hAnsi="Helvetica Neue" w:cs="Times New Roman"/>
          <w:color w:val="333333"/>
          <w:sz w:val="25"/>
          <w:szCs w:val="25"/>
          <w:highlight w:val="darkGray"/>
        </w:rPr>
        <w:t>updates</w:t>
      </w:r>
      <w:proofErr w:type="gramEnd"/>
      <w:r w:rsidRPr="006B25CC">
        <w:rPr>
          <w:rFonts w:ascii="Helvetica Neue" w:eastAsia="Times New Roman" w:hAnsi="Helvetica Neue" w:cs="Times New Roman"/>
          <w:color w:val="333333"/>
          <w:sz w:val="25"/>
          <w:szCs w:val="25"/>
          <w:highlight w:val="darkGray"/>
        </w:rPr>
        <w:t xml:space="preserve"> we found little or no evidence of effect for:</w:t>
      </w:r>
    </w:p>
    <w:p w14:paraId="21C97834" w14:textId="77777777" w:rsidR="00624FBC" w:rsidRPr="006B25CC" w:rsidRDefault="00924876" w:rsidP="00624FBC">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hyperlink r:id="rId8" w:tgtFrame="_blank" w:history="1">
        <w:r w:rsidR="00624FBC" w:rsidRPr="006B25CC">
          <w:rPr>
            <w:rFonts w:ascii="Helvetica Neue" w:eastAsia="Times New Roman" w:hAnsi="Helvetica Neue" w:cs="Times New Roman"/>
            <w:color w:val="337AB7"/>
            <w:sz w:val="25"/>
            <w:szCs w:val="25"/>
            <w:highlight w:val="darkGray"/>
            <w:u w:val="single"/>
          </w:rPr>
          <w:t>assertive community treatment</w:t>
        </w:r>
      </w:hyperlink>
      <w:r w:rsidR="00624FBC" w:rsidRPr="006B25CC">
        <w:rPr>
          <w:rFonts w:ascii="Helvetica Neue" w:eastAsia="Times New Roman" w:hAnsi="Helvetica Neue" w:cs="Times New Roman"/>
          <w:color w:val="333333"/>
          <w:sz w:val="25"/>
          <w:szCs w:val="25"/>
          <w:highlight w:val="darkGray"/>
        </w:rPr>
        <w:t> (ACT) for substance use disorders, and</w:t>
      </w:r>
    </w:p>
    <w:p w14:paraId="49153490" w14:textId="77777777" w:rsidR="00624FBC" w:rsidRPr="006B25CC" w:rsidRDefault="00924876" w:rsidP="00624FBC">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hyperlink r:id="rId9" w:tgtFrame="_blank" w:history="1">
        <w:r w:rsidR="00624FBC" w:rsidRPr="006B25CC">
          <w:rPr>
            <w:rFonts w:ascii="Helvetica Neue" w:eastAsia="Times New Roman" w:hAnsi="Helvetica Neue" w:cs="Times New Roman"/>
            <w:color w:val="337AB7"/>
            <w:sz w:val="25"/>
            <w:szCs w:val="25"/>
            <w:highlight w:val="darkGray"/>
            <w:u w:val="single"/>
          </w:rPr>
          <w:t>integrated care of infectious diseases and substance use disorders</w:t>
        </w:r>
      </w:hyperlink>
      <w:r w:rsidR="00624FBC" w:rsidRPr="006B25CC">
        <w:rPr>
          <w:rFonts w:ascii="Helvetica Neue" w:eastAsia="Times New Roman" w:hAnsi="Helvetica Neue" w:cs="Times New Roman"/>
          <w:color w:val="333333"/>
          <w:sz w:val="25"/>
          <w:szCs w:val="25"/>
          <w:highlight w:val="darkGray"/>
        </w:rPr>
        <w:t> to improve infectious disease treatment outcomes.</w:t>
      </w:r>
    </w:p>
    <w:p w14:paraId="4D8E51B4" w14:textId="77777777" w:rsidR="00624FBC" w:rsidRPr="00624FBC" w:rsidRDefault="00624FBC" w:rsidP="00624FBC">
      <w:pPr>
        <w:rPr>
          <w:rFonts w:ascii="Helvetica Neue" w:eastAsia="Times New Roman" w:hAnsi="Helvetica Neue" w:cs="Times New Roman"/>
          <w:color w:val="333333"/>
          <w:sz w:val="25"/>
          <w:szCs w:val="25"/>
        </w:rPr>
      </w:pPr>
      <w:r w:rsidRPr="006B25CC">
        <w:rPr>
          <w:rFonts w:ascii="Helvetica Neue" w:eastAsia="Times New Roman" w:hAnsi="Helvetica Neue" w:cs="Times New Roman"/>
          <w:color w:val="333333"/>
          <w:sz w:val="25"/>
          <w:szCs w:val="25"/>
          <w:highlight w:val="darkGray"/>
        </w:rPr>
        <w:t>The sets of evidence in these areas remain insufficient. Nevertheless, ‘unknown effectiveness’ and ‘lack of evidence’ are significant findings that communicate a gap in knowledge and a need to stimulate further research in the field</w:t>
      </w:r>
    </w:p>
    <w:p w14:paraId="6F24F4D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A8D"/>
    <w:multiLevelType w:val="multilevel"/>
    <w:tmpl w:val="B0D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553DC"/>
    <w:multiLevelType w:val="multilevel"/>
    <w:tmpl w:val="C20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2216D"/>
    <w:multiLevelType w:val="multilevel"/>
    <w:tmpl w:val="1B20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76D96"/>
    <w:multiLevelType w:val="multilevel"/>
    <w:tmpl w:val="CFDA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02"/>
    <w:rsid w:val="00453EED"/>
    <w:rsid w:val="00624FBC"/>
    <w:rsid w:val="006B25CC"/>
    <w:rsid w:val="00924876"/>
    <w:rsid w:val="00BE080D"/>
    <w:rsid w:val="00C3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8A2EE"/>
  <w14:defaultImageDpi w14:val="32767"/>
  <w15:chartTrackingRefBased/>
  <w15:docId w15:val="{F9CA9711-1465-AF4C-A9F9-F21D1BFA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4F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4FB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F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4F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FBC"/>
    <w:rPr>
      <w:rFonts w:ascii="Times New Roman" w:eastAsia="Times New Roman" w:hAnsi="Times New Roman" w:cs="Times New Roman"/>
      <w:b/>
      <w:bCs/>
    </w:rPr>
  </w:style>
  <w:style w:type="paragraph" w:customStyle="1" w:styleId="printhtml">
    <w:name w:val="print_html"/>
    <w:basedOn w:val="Normal"/>
    <w:rsid w:val="00624F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4FBC"/>
    <w:rPr>
      <w:color w:val="0000FF"/>
      <w:u w:val="single"/>
    </w:rPr>
  </w:style>
  <w:style w:type="character" w:customStyle="1" w:styleId="apple-converted-space">
    <w:name w:val="apple-converted-space"/>
    <w:basedOn w:val="DefaultParagraphFont"/>
    <w:rsid w:val="00624FBC"/>
  </w:style>
  <w:style w:type="paragraph" w:customStyle="1" w:styleId="printpdf">
    <w:name w:val="print_pdf"/>
    <w:basedOn w:val="Normal"/>
    <w:rsid w:val="00624FBC"/>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624FB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24FBC"/>
    <w:rPr>
      <w:i/>
      <w:iCs/>
    </w:rPr>
  </w:style>
  <w:style w:type="character" w:customStyle="1" w:styleId="news-location">
    <w:name w:val="news-location"/>
    <w:basedOn w:val="DefaultParagraphFont"/>
    <w:rsid w:val="00624FBC"/>
  </w:style>
  <w:style w:type="character" w:customStyle="1" w:styleId="date-display-single">
    <w:name w:val="date-display-single"/>
    <w:basedOn w:val="DefaultParagraphFont"/>
    <w:rsid w:val="00624FBC"/>
  </w:style>
  <w:style w:type="paragraph" w:customStyle="1" w:styleId="field-items">
    <w:name w:val="field-items"/>
    <w:basedOn w:val="Normal"/>
    <w:rsid w:val="00624FBC"/>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624FBC"/>
  </w:style>
  <w:style w:type="paragraph" w:styleId="NormalWeb">
    <w:name w:val="Normal (Web)"/>
    <w:basedOn w:val="Normal"/>
    <w:uiPriority w:val="99"/>
    <w:semiHidden/>
    <w:unhideWhenUsed/>
    <w:rsid w:val="00624F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30928">
      <w:bodyDiv w:val="1"/>
      <w:marLeft w:val="0"/>
      <w:marRight w:val="0"/>
      <w:marTop w:val="0"/>
      <w:marBottom w:val="0"/>
      <w:divBdr>
        <w:top w:val="none" w:sz="0" w:space="0" w:color="auto"/>
        <w:left w:val="none" w:sz="0" w:space="0" w:color="auto"/>
        <w:bottom w:val="none" w:sz="0" w:space="0" w:color="auto"/>
        <w:right w:val="none" w:sz="0" w:space="0" w:color="auto"/>
      </w:divBdr>
      <w:divsChild>
        <w:div w:id="1092631418">
          <w:marLeft w:val="0"/>
          <w:marRight w:val="150"/>
          <w:marTop w:val="0"/>
          <w:marBottom w:val="0"/>
          <w:divBdr>
            <w:top w:val="none" w:sz="0" w:space="0" w:color="auto"/>
            <w:left w:val="none" w:sz="0" w:space="0" w:color="auto"/>
            <w:bottom w:val="none" w:sz="0" w:space="0" w:color="auto"/>
            <w:right w:val="none" w:sz="0" w:space="0" w:color="auto"/>
          </w:divBdr>
        </w:div>
        <w:div w:id="1209756624">
          <w:marLeft w:val="0"/>
          <w:marRight w:val="0"/>
          <w:marTop w:val="0"/>
          <w:marBottom w:val="0"/>
          <w:divBdr>
            <w:top w:val="none" w:sz="0" w:space="0" w:color="auto"/>
            <w:left w:val="none" w:sz="0" w:space="0" w:color="auto"/>
            <w:bottom w:val="none" w:sz="0" w:space="0" w:color="auto"/>
            <w:right w:val="none" w:sz="0" w:space="0" w:color="auto"/>
          </w:divBdr>
          <w:divsChild>
            <w:div w:id="1081606894">
              <w:marLeft w:val="180"/>
              <w:marRight w:val="0"/>
              <w:marTop w:val="180"/>
              <w:marBottom w:val="360"/>
              <w:divBdr>
                <w:top w:val="none" w:sz="0" w:space="0" w:color="auto"/>
                <w:left w:val="none" w:sz="0" w:space="0" w:color="auto"/>
                <w:bottom w:val="none" w:sz="0" w:space="0" w:color="auto"/>
                <w:right w:val="none" w:sz="0" w:space="0" w:color="auto"/>
              </w:divBdr>
              <w:divsChild>
                <w:div w:id="1475218524">
                  <w:marLeft w:val="0"/>
                  <w:marRight w:val="0"/>
                  <w:marTop w:val="0"/>
                  <w:marBottom w:val="360"/>
                  <w:divBdr>
                    <w:top w:val="none" w:sz="0" w:space="0" w:color="auto"/>
                    <w:left w:val="none" w:sz="0" w:space="0" w:color="auto"/>
                    <w:bottom w:val="none" w:sz="0" w:space="0" w:color="auto"/>
                    <w:right w:val="none" w:sz="0" w:space="0" w:color="auto"/>
                  </w:divBdr>
                  <w:divsChild>
                    <w:div w:id="1572691299">
                      <w:marLeft w:val="0"/>
                      <w:marRight w:val="0"/>
                      <w:marTop w:val="0"/>
                      <w:marBottom w:val="0"/>
                      <w:divBdr>
                        <w:top w:val="none" w:sz="0" w:space="0" w:color="auto"/>
                        <w:left w:val="none" w:sz="0" w:space="0" w:color="auto"/>
                        <w:bottom w:val="none" w:sz="0" w:space="0" w:color="auto"/>
                        <w:right w:val="none" w:sz="0" w:space="0" w:color="auto"/>
                      </w:divBdr>
                    </w:div>
                    <w:div w:id="1639454600">
                      <w:marLeft w:val="0"/>
                      <w:marRight w:val="0"/>
                      <w:marTop w:val="0"/>
                      <w:marBottom w:val="0"/>
                      <w:divBdr>
                        <w:top w:val="none" w:sz="0" w:space="0" w:color="auto"/>
                        <w:left w:val="none" w:sz="0" w:space="0" w:color="auto"/>
                        <w:bottom w:val="none" w:sz="0" w:space="0" w:color="auto"/>
                        <w:right w:val="none" w:sz="0" w:space="0" w:color="auto"/>
                      </w:divBdr>
                      <w:divsChild>
                        <w:div w:id="6425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2142">
                  <w:marLeft w:val="0"/>
                  <w:marRight w:val="0"/>
                  <w:marTop w:val="0"/>
                  <w:marBottom w:val="0"/>
                  <w:divBdr>
                    <w:top w:val="single" w:sz="6" w:space="2" w:color="CFCFCF"/>
                    <w:left w:val="single" w:sz="6" w:space="2" w:color="CFCFCF"/>
                    <w:bottom w:val="single" w:sz="6" w:space="2" w:color="CFCFCF"/>
                    <w:right w:val="single" w:sz="6" w:space="2" w:color="CFCFCF"/>
                  </w:divBdr>
                  <w:divsChild>
                    <w:div w:id="1029987171">
                      <w:marLeft w:val="0"/>
                      <w:marRight w:val="0"/>
                      <w:marTop w:val="0"/>
                      <w:marBottom w:val="0"/>
                      <w:divBdr>
                        <w:top w:val="none" w:sz="0" w:space="0" w:color="auto"/>
                        <w:left w:val="none" w:sz="0" w:space="0" w:color="auto"/>
                        <w:bottom w:val="none" w:sz="0" w:space="0" w:color="auto"/>
                        <w:right w:val="none" w:sz="0" w:space="0" w:color="auto"/>
                      </w:divBdr>
                    </w:div>
                    <w:div w:id="1031222967">
                      <w:marLeft w:val="0"/>
                      <w:marRight w:val="0"/>
                      <w:marTop w:val="0"/>
                      <w:marBottom w:val="0"/>
                      <w:divBdr>
                        <w:top w:val="none" w:sz="0" w:space="0" w:color="auto"/>
                        <w:left w:val="none" w:sz="0" w:space="0" w:color="auto"/>
                        <w:bottom w:val="none" w:sz="0" w:space="0" w:color="auto"/>
                        <w:right w:val="none" w:sz="0" w:space="0" w:color="auto"/>
                      </w:divBdr>
                      <w:divsChild>
                        <w:div w:id="20592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8654">
                  <w:marLeft w:val="0"/>
                  <w:marRight w:val="0"/>
                  <w:marTop w:val="0"/>
                  <w:marBottom w:val="0"/>
                  <w:divBdr>
                    <w:top w:val="none" w:sz="0" w:space="0" w:color="auto"/>
                    <w:left w:val="none" w:sz="0" w:space="0" w:color="auto"/>
                    <w:bottom w:val="none" w:sz="0" w:space="0" w:color="auto"/>
                    <w:right w:val="none" w:sz="0" w:space="0" w:color="auto"/>
                  </w:divBdr>
                </w:div>
                <w:div w:id="1646735992">
                  <w:marLeft w:val="0"/>
                  <w:marRight w:val="0"/>
                  <w:marTop w:val="0"/>
                  <w:marBottom w:val="0"/>
                  <w:divBdr>
                    <w:top w:val="none" w:sz="0" w:space="0" w:color="auto"/>
                    <w:left w:val="none" w:sz="0" w:space="0" w:color="auto"/>
                    <w:bottom w:val="none" w:sz="0" w:space="0" w:color="auto"/>
                    <w:right w:val="none" w:sz="0" w:space="0" w:color="auto"/>
                  </w:divBdr>
                </w:div>
              </w:divsChild>
            </w:div>
            <w:div w:id="44377449">
              <w:marLeft w:val="0"/>
              <w:marRight w:val="0"/>
              <w:marTop w:val="0"/>
              <w:marBottom w:val="0"/>
              <w:divBdr>
                <w:top w:val="none" w:sz="0" w:space="0" w:color="auto"/>
                <w:left w:val="none" w:sz="0" w:space="0" w:color="auto"/>
                <w:bottom w:val="none" w:sz="0" w:space="0" w:color="auto"/>
                <w:right w:val="none" w:sz="0" w:space="0" w:color="auto"/>
              </w:divBdr>
              <w:divsChild>
                <w:div w:id="1965035244">
                  <w:marLeft w:val="0"/>
                  <w:marRight w:val="0"/>
                  <w:marTop w:val="0"/>
                  <w:marBottom w:val="0"/>
                  <w:divBdr>
                    <w:top w:val="none" w:sz="0" w:space="0" w:color="auto"/>
                    <w:left w:val="none" w:sz="0" w:space="0" w:color="auto"/>
                    <w:bottom w:val="none" w:sz="0" w:space="0" w:color="auto"/>
                    <w:right w:val="none" w:sz="0" w:space="0" w:color="auto"/>
                  </w:divBdr>
                  <w:divsChild>
                    <w:div w:id="12872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best-practice/evidence-summaries/assertive-community-treatment-act-substance-use-disorders_en" TargetMode="External"/><Relationship Id="rId3" Type="http://schemas.openxmlformats.org/officeDocument/2006/relationships/settings" Target="settings.xml"/><Relationship Id="rId7" Type="http://schemas.openxmlformats.org/officeDocument/2006/relationships/hyperlink" Target="http://www.emcdda.europa.eu/best-practice/evidence-summaries/telemedicine-delivered-treatment-interventions-substance-use-disorders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best-practice/evidence-summaries/prescription-monitoring-programmes-pmps-reduce-opioid-prescription-dispension-and-use_en" TargetMode="External"/><Relationship Id="rId11" Type="http://schemas.openxmlformats.org/officeDocument/2006/relationships/theme" Target="theme/theme1.xml"/><Relationship Id="rId5" Type="http://schemas.openxmlformats.org/officeDocument/2006/relationships/hyperlink" Target="http://www.emcdda.europa.eu/best-practice/evidence-summaries/contingency-management-community-reinforcement-approach-reduce-cocaine-and-amphetamine-use_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cdda.europa.eu/best-practice/evidence-summaries/integrated-care-infectious-diseases-and-substance-use-disorders-improve-infectious-disease-treatment-outcome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2020-02-18T14:55:00Z</dcterms:created>
  <dcterms:modified xsi:type="dcterms:W3CDTF">2020-05-13T09:15:00Z</dcterms:modified>
</cp:coreProperties>
</file>