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D9E62" w14:textId="77777777" w:rsidR="008301C3" w:rsidRPr="008301C3" w:rsidRDefault="008301C3" w:rsidP="008301C3">
      <w:pPr>
        <w:spacing w:after="150" w:line="456" w:lineRule="atLeast"/>
        <w:outlineLvl w:val="0"/>
        <w:rPr>
          <w:rFonts w:ascii="Helvetica Neue" w:eastAsia="Times New Roman" w:hAnsi="Helvetica Neue" w:cs="Times New Roman"/>
          <w:b/>
          <w:bCs/>
          <w:color w:val="4C4C4C"/>
          <w:kern w:val="36"/>
          <w:sz w:val="38"/>
          <w:szCs w:val="38"/>
        </w:rPr>
      </w:pPr>
      <w:r w:rsidRPr="008301C3">
        <w:rPr>
          <w:rFonts w:ascii="Helvetica Neue" w:eastAsia="Times New Roman" w:hAnsi="Helvetica Neue" w:cs="Times New Roman"/>
          <w:b/>
          <w:bCs/>
          <w:color w:val="4C4C4C"/>
          <w:kern w:val="36"/>
          <w:sz w:val="38"/>
          <w:szCs w:val="38"/>
        </w:rPr>
        <w:t>A year in review: EMCDDA publishes its latest General Report of Activities</w:t>
      </w:r>
    </w:p>
    <w:p w14:paraId="20209B42" w14:textId="77777777" w:rsidR="008301C3" w:rsidRPr="008301C3" w:rsidRDefault="008301C3" w:rsidP="008301C3">
      <w:pPr>
        <w:spacing w:after="375"/>
        <w:rPr>
          <w:rFonts w:ascii="Helvetica Neue" w:eastAsia="Times New Roman" w:hAnsi="Helvetica Neue" w:cs="Times New Roman"/>
          <w:color w:val="333333"/>
          <w:sz w:val="25"/>
          <w:szCs w:val="25"/>
        </w:rPr>
      </w:pPr>
      <w:r w:rsidRPr="0060509C">
        <w:rPr>
          <w:rFonts w:ascii="Helvetica Neue" w:eastAsia="Times New Roman" w:hAnsi="Helvetica Neue" w:cs="Times New Roman"/>
          <w:color w:val="333333"/>
          <w:sz w:val="25"/>
          <w:szCs w:val="25"/>
          <w:highlight w:val="lightGray"/>
        </w:rPr>
        <w:t>An external evaluation of the EMCDDA, new products and services, and support to policy and practice in the fields of health and security are among the features presented in the latest </w:t>
      </w:r>
      <w:hyperlink r:id="rId5" w:history="1">
        <w:r w:rsidRPr="0060509C">
          <w:rPr>
            <w:rFonts w:ascii="Helvetica Neue" w:eastAsia="Times New Roman" w:hAnsi="Helvetica Neue" w:cs="Times New Roman"/>
            <w:color w:val="337AB7"/>
            <w:sz w:val="25"/>
            <w:szCs w:val="25"/>
            <w:highlight w:val="lightGray"/>
            <w:u w:val="single"/>
          </w:rPr>
          <w:t>General Report of Activities</w:t>
        </w:r>
      </w:hyperlink>
      <w:r w:rsidRPr="0060509C">
        <w:rPr>
          <w:rFonts w:ascii="Helvetica Neue" w:eastAsia="Times New Roman" w:hAnsi="Helvetica Neue" w:cs="Times New Roman"/>
          <w:color w:val="333333"/>
          <w:sz w:val="25"/>
          <w:szCs w:val="25"/>
          <w:highlight w:val="lightGray"/>
        </w:rPr>
        <w:t> published today by the agency. The report</w:t>
      </w:r>
      <w:r w:rsidRPr="0060509C">
        <w:rPr>
          <w:rFonts w:ascii="Helvetica Neue" w:eastAsia="Times New Roman" w:hAnsi="Helvetica Neue" w:cs="Times New Roman"/>
          <w:color w:val="FF0000"/>
          <w:sz w:val="25"/>
          <w:szCs w:val="25"/>
          <w:highlight w:val="lightGray"/>
        </w:rPr>
        <w:t>, covering key achievements and governance in 2018</w:t>
      </w:r>
      <w:r w:rsidRPr="0060509C">
        <w:rPr>
          <w:rFonts w:ascii="Helvetica Neue" w:eastAsia="Times New Roman" w:hAnsi="Helvetica Neue" w:cs="Times New Roman"/>
          <w:color w:val="333333"/>
          <w:sz w:val="25"/>
          <w:szCs w:val="25"/>
          <w:highlight w:val="lightGray"/>
        </w:rPr>
        <w:t xml:space="preserve">, presents the implementation of the EMCDDA work </w:t>
      </w:r>
      <w:proofErr w:type="spellStart"/>
      <w:r w:rsidRPr="0060509C">
        <w:rPr>
          <w:rFonts w:ascii="Helvetica Neue" w:eastAsia="Times New Roman" w:hAnsi="Helvetica Neue" w:cs="Times New Roman"/>
          <w:color w:val="333333"/>
          <w:sz w:val="25"/>
          <w:szCs w:val="25"/>
          <w:highlight w:val="lightGray"/>
        </w:rPr>
        <w:t>programme</w:t>
      </w:r>
      <w:proofErr w:type="spellEnd"/>
      <w:r w:rsidRPr="0060509C">
        <w:rPr>
          <w:rFonts w:ascii="Helvetica Neue" w:eastAsia="Times New Roman" w:hAnsi="Helvetica Neue" w:cs="Times New Roman"/>
          <w:color w:val="333333"/>
          <w:sz w:val="25"/>
          <w:szCs w:val="25"/>
          <w:highlight w:val="lightGray"/>
        </w:rPr>
        <w:t xml:space="preserve"> activities over the 12-month period.</w:t>
      </w:r>
    </w:p>
    <w:p w14:paraId="1DF0FE6F" w14:textId="77777777" w:rsidR="008301C3" w:rsidRPr="008301C3" w:rsidRDefault="008301C3" w:rsidP="008301C3">
      <w:pPr>
        <w:spacing w:after="375"/>
        <w:rPr>
          <w:rFonts w:ascii="Helvetica Neue" w:eastAsia="Times New Roman" w:hAnsi="Helvetica Neue" w:cs="Times New Roman"/>
          <w:color w:val="333333"/>
          <w:sz w:val="25"/>
          <w:szCs w:val="25"/>
        </w:rPr>
      </w:pPr>
      <w:r w:rsidRPr="008301C3">
        <w:rPr>
          <w:rFonts w:ascii="Helvetica Neue" w:eastAsia="Times New Roman" w:hAnsi="Helvetica Neue" w:cs="Times New Roman"/>
          <w:color w:val="333333"/>
          <w:sz w:val="25"/>
          <w:szCs w:val="25"/>
        </w:rPr>
        <w:t xml:space="preserve">The year 2018 was one in which the value that the agency brings to its stakeholders and key partners was further confirmed. </w:t>
      </w:r>
      <w:bookmarkStart w:id="0" w:name="_GoBack"/>
      <w:r w:rsidRPr="008301C3">
        <w:rPr>
          <w:rFonts w:ascii="Helvetica Neue" w:eastAsia="Times New Roman" w:hAnsi="Helvetica Neue" w:cs="Times New Roman"/>
          <w:color w:val="333333"/>
          <w:sz w:val="25"/>
          <w:szCs w:val="25"/>
        </w:rPr>
        <w:t>An </w:t>
      </w:r>
      <w:hyperlink r:id="rId6" w:history="1">
        <w:r w:rsidRPr="008301C3">
          <w:rPr>
            <w:rFonts w:ascii="Helvetica Neue" w:eastAsia="Times New Roman" w:hAnsi="Helvetica Neue" w:cs="Times New Roman"/>
            <w:color w:val="337AB7"/>
            <w:sz w:val="25"/>
            <w:szCs w:val="25"/>
            <w:u w:val="single"/>
          </w:rPr>
          <w:t>external evaluation</w:t>
        </w:r>
      </w:hyperlink>
      <w:r w:rsidRPr="008301C3">
        <w:rPr>
          <w:rFonts w:ascii="Helvetica Neue" w:eastAsia="Times New Roman" w:hAnsi="Helvetica Neue" w:cs="Times New Roman"/>
          <w:color w:val="333333"/>
          <w:sz w:val="25"/>
          <w:szCs w:val="25"/>
        </w:rPr>
        <w:t> of the EMCDDA, carried out by the European Commission (EC) and presented to the EMCDDA Management Board in December 2018, concluded that the agency is performing very well, delivers excellent outputs and has a high reputation at both European and international levels. The agency will closely follow up on the recommendations of the evaluation to guide its future activities and remain policy relevant and structurally fit to respond to stakeholder needs.</w:t>
      </w:r>
    </w:p>
    <w:bookmarkEnd w:id="0"/>
    <w:p w14:paraId="415D986E" w14:textId="77777777" w:rsidR="008301C3" w:rsidRPr="0060509C" w:rsidRDefault="008301C3" w:rsidP="008301C3">
      <w:pPr>
        <w:spacing w:after="375"/>
        <w:rPr>
          <w:rFonts w:ascii="Helvetica Neue" w:eastAsia="Times New Roman" w:hAnsi="Helvetica Neue" w:cs="Times New Roman"/>
          <w:color w:val="333333"/>
          <w:sz w:val="25"/>
          <w:szCs w:val="25"/>
          <w:highlight w:val="lightGray"/>
        </w:rPr>
      </w:pPr>
      <w:r w:rsidRPr="0060509C">
        <w:rPr>
          <w:rFonts w:ascii="Helvetica Neue" w:eastAsia="Times New Roman" w:hAnsi="Helvetica Neue" w:cs="Times New Roman"/>
          <w:color w:val="333333"/>
          <w:sz w:val="25"/>
          <w:szCs w:val="25"/>
          <w:highlight w:val="lightGray"/>
        </w:rPr>
        <w:t>The most tangible results of the agency’s work are its publications. In 2018, 45 scientific and corporate publications, in addition to 30 </w:t>
      </w:r>
      <w:hyperlink r:id="rId7" w:history="1">
        <w:r w:rsidRPr="0060509C">
          <w:rPr>
            <w:rFonts w:ascii="Helvetica Neue" w:eastAsia="Times New Roman" w:hAnsi="Helvetica Neue" w:cs="Times New Roman"/>
            <w:color w:val="337AB7"/>
            <w:sz w:val="25"/>
            <w:szCs w:val="25"/>
            <w:highlight w:val="lightGray"/>
            <w:u w:val="single"/>
          </w:rPr>
          <w:t>Country Drug Reports</w:t>
        </w:r>
      </w:hyperlink>
      <w:r w:rsidRPr="0060509C">
        <w:rPr>
          <w:rFonts w:ascii="Helvetica Neue" w:eastAsia="Times New Roman" w:hAnsi="Helvetica Neue" w:cs="Times New Roman"/>
          <w:color w:val="333333"/>
          <w:sz w:val="25"/>
          <w:szCs w:val="25"/>
          <w:highlight w:val="lightGray"/>
        </w:rPr>
        <w:t xml:space="preserve">, were released, including seven joint publications produced with EU agencies or international </w:t>
      </w:r>
      <w:proofErr w:type="spellStart"/>
      <w:r w:rsidRPr="0060509C">
        <w:rPr>
          <w:rFonts w:ascii="Helvetica Neue" w:eastAsia="Times New Roman" w:hAnsi="Helvetica Neue" w:cs="Times New Roman"/>
          <w:color w:val="333333"/>
          <w:sz w:val="25"/>
          <w:szCs w:val="25"/>
          <w:highlight w:val="lightGray"/>
        </w:rPr>
        <w:t>organisations</w:t>
      </w:r>
      <w:proofErr w:type="spellEnd"/>
      <w:r w:rsidRPr="0060509C">
        <w:rPr>
          <w:rFonts w:ascii="Helvetica Neue" w:eastAsia="Times New Roman" w:hAnsi="Helvetica Neue" w:cs="Times New Roman"/>
          <w:color w:val="333333"/>
          <w:sz w:val="25"/>
          <w:szCs w:val="25"/>
          <w:highlight w:val="lightGray"/>
        </w:rPr>
        <w:t xml:space="preserve">. The EMCDDA’s annual overview of the drug situation, in the form of its flagship European Drug Report, was launched in Brussels in June by European Commissioner for Migration, Home Affairs and Citizenship, Dimitris Avramopoulos and by EMCDDA Director, Alexis </w:t>
      </w:r>
      <w:proofErr w:type="spellStart"/>
      <w:r w:rsidRPr="0060509C">
        <w:rPr>
          <w:rFonts w:ascii="Helvetica Neue" w:eastAsia="Times New Roman" w:hAnsi="Helvetica Neue" w:cs="Times New Roman"/>
          <w:color w:val="333333"/>
          <w:sz w:val="25"/>
          <w:szCs w:val="25"/>
          <w:highlight w:val="lightGray"/>
        </w:rPr>
        <w:t>Goosdeel</w:t>
      </w:r>
      <w:proofErr w:type="spellEnd"/>
      <w:r w:rsidRPr="0060509C">
        <w:rPr>
          <w:rFonts w:ascii="Helvetica Neue" w:eastAsia="Times New Roman" w:hAnsi="Helvetica Neue" w:cs="Times New Roman"/>
          <w:color w:val="333333"/>
          <w:sz w:val="25"/>
          <w:szCs w:val="25"/>
          <w:highlight w:val="lightGray"/>
        </w:rPr>
        <w:t>.</w:t>
      </w:r>
    </w:p>
    <w:p w14:paraId="3EAD7EF7" w14:textId="77777777" w:rsidR="008301C3" w:rsidRPr="0060509C" w:rsidRDefault="008301C3" w:rsidP="008301C3">
      <w:pPr>
        <w:spacing w:after="375"/>
        <w:rPr>
          <w:rFonts w:ascii="Helvetica Neue" w:eastAsia="Times New Roman" w:hAnsi="Helvetica Neue" w:cs="Times New Roman"/>
          <w:color w:val="333333"/>
          <w:sz w:val="25"/>
          <w:szCs w:val="25"/>
          <w:highlight w:val="lightGray"/>
        </w:rPr>
      </w:pPr>
      <w:r w:rsidRPr="0060509C">
        <w:rPr>
          <w:rFonts w:ascii="Helvetica Neue" w:eastAsia="Times New Roman" w:hAnsi="Helvetica Neue" w:cs="Times New Roman"/>
          <w:color w:val="333333"/>
          <w:sz w:val="25"/>
          <w:szCs w:val="25"/>
          <w:highlight w:val="lightGray"/>
        </w:rPr>
        <w:t>Policy and practice relevance were at the core of the agency’s work throughout the year. The EMCDDA provided services to its three main customer groups: EU institutions; national policymakers in the EU Member States; and professionals working in the drugs field. Here it contributed to major EU drug policy documents, through technical support to EU institutions, and, overall, contributed to around 300 drug-related scientific, policy and practice events. The agency disseminated best practice, held training sessions and undertook capacity-building activities to share knowledge in 2018. Its cannabis policy news service continued to provide regular alerts to its policy audience and its audience doubled in 2018.</w:t>
      </w:r>
    </w:p>
    <w:p w14:paraId="20EC9CC1" w14:textId="77777777" w:rsidR="008301C3" w:rsidRPr="0060509C" w:rsidRDefault="008301C3" w:rsidP="008301C3">
      <w:pPr>
        <w:spacing w:after="375"/>
        <w:rPr>
          <w:rFonts w:ascii="Helvetica Neue" w:eastAsia="Times New Roman" w:hAnsi="Helvetica Neue" w:cs="Times New Roman"/>
          <w:color w:val="333333"/>
          <w:sz w:val="25"/>
          <w:szCs w:val="25"/>
          <w:highlight w:val="lightGray"/>
        </w:rPr>
      </w:pPr>
      <w:r w:rsidRPr="0060509C">
        <w:rPr>
          <w:rFonts w:ascii="Helvetica Neue" w:eastAsia="Times New Roman" w:hAnsi="Helvetica Neue" w:cs="Times New Roman"/>
          <w:color w:val="333333"/>
          <w:sz w:val="25"/>
          <w:szCs w:val="25"/>
          <w:highlight w:val="lightGray"/>
        </w:rPr>
        <w:t xml:space="preserve">A three-year initiative with the purpose of promoting hepatitis C testing among people who inject drugs (PWID) in drug treatment settings was launched mid-year. This reflected an </w:t>
      </w:r>
      <w:proofErr w:type="spellStart"/>
      <w:r w:rsidRPr="0060509C">
        <w:rPr>
          <w:rFonts w:ascii="Helvetica Neue" w:eastAsia="Times New Roman" w:hAnsi="Helvetica Neue" w:cs="Times New Roman"/>
          <w:color w:val="333333"/>
          <w:sz w:val="25"/>
          <w:szCs w:val="25"/>
          <w:highlight w:val="lightGray"/>
        </w:rPr>
        <w:t>operationalisation</w:t>
      </w:r>
      <w:proofErr w:type="spellEnd"/>
      <w:r w:rsidRPr="0060509C">
        <w:rPr>
          <w:rFonts w:ascii="Helvetica Neue" w:eastAsia="Times New Roman" w:hAnsi="Helvetica Neue" w:cs="Times New Roman"/>
          <w:color w:val="333333"/>
          <w:sz w:val="25"/>
          <w:szCs w:val="25"/>
          <w:highlight w:val="lightGray"/>
        </w:rPr>
        <w:t xml:space="preserve"> of a central EMCDDA public health priority, as defined in the agency’s </w:t>
      </w:r>
      <w:hyperlink r:id="rId8" w:history="1">
        <w:r w:rsidRPr="0060509C">
          <w:rPr>
            <w:rFonts w:ascii="Helvetica Neue" w:eastAsia="Times New Roman" w:hAnsi="Helvetica Neue" w:cs="Times New Roman"/>
            <w:color w:val="337AB7"/>
            <w:sz w:val="25"/>
            <w:szCs w:val="25"/>
            <w:highlight w:val="lightGray"/>
            <w:u w:val="single"/>
          </w:rPr>
          <w:t>Strategy 2025</w:t>
        </w:r>
      </w:hyperlink>
      <w:r w:rsidRPr="0060509C">
        <w:rPr>
          <w:rFonts w:ascii="Helvetica Neue" w:eastAsia="Times New Roman" w:hAnsi="Helvetica Neue" w:cs="Times New Roman"/>
          <w:color w:val="333333"/>
          <w:sz w:val="25"/>
          <w:szCs w:val="25"/>
          <w:highlight w:val="lightGray"/>
        </w:rPr>
        <w:t>.</w:t>
      </w:r>
    </w:p>
    <w:p w14:paraId="3046557B" w14:textId="77777777" w:rsidR="008301C3" w:rsidRPr="008301C3" w:rsidRDefault="008301C3" w:rsidP="008301C3">
      <w:pPr>
        <w:spacing w:after="375"/>
        <w:rPr>
          <w:rFonts w:ascii="Helvetica Neue" w:eastAsia="Times New Roman" w:hAnsi="Helvetica Neue" w:cs="Times New Roman"/>
          <w:color w:val="333333"/>
          <w:sz w:val="25"/>
          <w:szCs w:val="25"/>
        </w:rPr>
      </w:pPr>
      <w:r w:rsidRPr="0060509C">
        <w:rPr>
          <w:rFonts w:ascii="Helvetica Neue" w:eastAsia="Times New Roman" w:hAnsi="Helvetica Neue" w:cs="Times New Roman"/>
          <w:color w:val="333333"/>
          <w:sz w:val="25"/>
          <w:szCs w:val="25"/>
          <w:highlight w:val="lightGray"/>
        </w:rPr>
        <w:lastRenderedPageBreak/>
        <w:t>The agency’s role in coordinating the </w:t>
      </w:r>
      <w:hyperlink r:id="rId9" w:history="1">
        <w:r w:rsidRPr="0060509C">
          <w:rPr>
            <w:rFonts w:ascii="Helvetica Neue" w:eastAsia="Times New Roman" w:hAnsi="Helvetica Neue" w:cs="Times New Roman"/>
            <w:color w:val="337AB7"/>
            <w:sz w:val="25"/>
            <w:szCs w:val="25"/>
            <w:highlight w:val="lightGray"/>
            <w:u w:val="single"/>
          </w:rPr>
          <w:t>EU Early Warning System</w:t>
        </w:r>
      </w:hyperlink>
      <w:r w:rsidRPr="0060509C">
        <w:rPr>
          <w:rFonts w:ascii="Helvetica Neue" w:eastAsia="Times New Roman" w:hAnsi="Helvetica Neue" w:cs="Times New Roman"/>
          <w:color w:val="333333"/>
          <w:sz w:val="25"/>
          <w:szCs w:val="25"/>
          <w:highlight w:val="lightGray"/>
        </w:rPr>
        <w:t> (EU EWS) on new psychoactive substances was also strengthened in 2018 as a result of the application (on 23 November) of a </w:t>
      </w:r>
      <w:hyperlink r:id="rId10" w:history="1">
        <w:r w:rsidRPr="0060509C">
          <w:rPr>
            <w:rFonts w:ascii="Helvetica Neue" w:eastAsia="Times New Roman" w:hAnsi="Helvetica Neue" w:cs="Times New Roman"/>
            <w:color w:val="337AB7"/>
            <w:sz w:val="25"/>
            <w:szCs w:val="25"/>
            <w:highlight w:val="lightGray"/>
            <w:u w:val="single"/>
          </w:rPr>
          <w:t>new legal framework</w:t>
        </w:r>
      </w:hyperlink>
      <w:r w:rsidRPr="0060509C">
        <w:rPr>
          <w:rFonts w:ascii="Helvetica Neue" w:eastAsia="Times New Roman" w:hAnsi="Helvetica Neue" w:cs="Times New Roman"/>
          <w:color w:val="333333"/>
          <w:sz w:val="25"/>
          <w:szCs w:val="25"/>
          <w:highlight w:val="lightGray"/>
        </w:rPr>
        <w:t>. This framework provides the EMCDDA with increased responsibilities and new formal partnerships with other EU agencies, and it amends its Founding Regulation (recast). The EWS was formally notified for the first time of 55 NPS during the year, bringing the total number of NPS currently monitored to around 730.</w:t>
      </w:r>
    </w:p>
    <w:p w14:paraId="154A2076" w14:textId="77777777" w:rsidR="008301C3" w:rsidRPr="0060509C" w:rsidRDefault="008301C3" w:rsidP="008301C3">
      <w:pPr>
        <w:spacing w:after="375"/>
        <w:rPr>
          <w:rFonts w:ascii="Helvetica Neue" w:eastAsia="Times New Roman" w:hAnsi="Helvetica Neue" w:cs="Times New Roman"/>
          <w:color w:val="333333"/>
          <w:sz w:val="25"/>
          <w:szCs w:val="25"/>
          <w:highlight w:val="lightGray"/>
        </w:rPr>
      </w:pPr>
      <w:r w:rsidRPr="0060509C">
        <w:rPr>
          <w:rFonts w:ascii="Helvetica Neue" w:eastAsia="Times New Roman" w:hAnsi="Helvetica Neue" w:cs="Times New Roman"/>
          <w:color w:val="333333"/>
          <w:sz w:val="25"/>
          <w:szCs w:val="25"/>
          <w:highlight w:val="lightGray"/>
        </w:rPr>
        <w:t>The EU Member States are among the agency’s core partners, particularly the </w:t>
      </w:r>
      <w:proofErr w:type="spellStart"/>
      <w:r w:rsidR="0060509C" w:rsidRPr="0060509C">
        <w:rPr>
          <w:rFonts w:ascii="Helvetica Neue" w:eastAsia="Times New Roman" w:hAnsi="Helvetica Neue" w:cs="Times New Roman"/>
          <w:color w:val="337AB7"/>
          <w:sz w:val="25"/>
          <w:szCs w:val="25"/>
          <w:highlight w:val="lightGray"/>
          <w:u w:val="single"/>
        </w:rPr>
        <w:fldChar w:fldCharType="begin"/>
      </w:r>
      <w:r w:rsidR="0060509C" w:rsidRPr="0060509C">
        <w:rPr>
          <w:rFonts w:ascii="Helvetica Neue" w:eastAsia="Times New Roman" w:hAnsi="Helvetica Neue" w:cs="Times New Roman"/>
          <w:color w:val="337AB7"/>
          <w:sz w:val="25"/>
          <w:szCs w:val="25"/>
          <w:highlight w:val="lightGray"/>
          <w:u w:val="single"/>
        </w:rPr>
        <w:instrText xml:space="preserve"> HYPERLINK "http://www.emcdda.europa.eu/about/partners/reitox" </w:instrText>
      </w:r>
      <w:r w:rsidR="0060509C" w:rsidRPr="0060509C">
        <w:rPr>
          <w:rFonts w:ascii="Helvetica Neue" w:eastAsia="Times New Roman" w:hAnsi="Helvetica Neue" w:cs="Times New Roman"/>
          <w:color w:val="337AB7"/>
          <w:sz w:val="25"/>
          <w:szCs w:val="25"/>
          <w:highlight w:val="lightGray"/>
          <w:u w:val="single"/>
        </w:rPr>
        <w:fldChar w:fldCharType="separate"/>
      </w:r>
      <w:r w:rsidRPr="0060509C">
        <w:rPr>
          <w:rFonts w:ascii="Helvetica Neue" w:eastAsia="Times New Roman" w:hAnsi="Helvetica Neue" w:cs="Times New Roman"/>
          <w:color w:val="337AB7"/>
          <w:sz w:val="25"/>
          <w:szCs w:val="25"/>
          <w:highlight w:val="lightGray"/>
          <w:u w:val="single"/>
        </w:rPr>
        <w:t>Reitox</w:t>
      </w:r>
      <w:proofErr w:type="spellEnd"/>
      <w:r w:rsidRPr="0060509C">
        <w:rPr>
          <w:rFonts w:ascii="Helvetica Neue" w:eastAsia="Times New Roman" w:hAnsi="Helvetica Neue" w:cs="Times New Roman"/>
          <w:color w:val="337AB7"/>
          <w:sz w:val="25"/>
          <w:szCs w:val="25"/>
          <w:highlight w:val="lightGray"/>
          <w:u w:val="single"/>
        </w:rPr>
        <w:t xml:space="preserve"> national focal points</w:t>
      </w:r>
      <w:r w:rsidR="0060509C" w:rsidRPr="0060509C">
        <w:rPr>
          <w:rFonts w:ascii="Helvetica Neue" w:eastAsia="Times New Roman" w:hAnsi="Helvetica Neue" w:cs="Times New Roman"/>
          <w:color w:val="337AB7"/>
          <w:sz w:val="25"/>
          <w:szCs w:val="25"/>
          <w:highlight w:val="lightGray"/>
          <w:u w:val="single"/>
        </w:rPr>
        <w:fldChar w:fldCharType="end"/>
      </w:r>
      <w:r w:rsidRPr="0060509C">
        <w:rPr>
          <w:rFonts w:ascii="Helvetica Neue" w:eastAsia="Times New Roman" w:hAnsi="Helvetica Neue" w:cs="Times New Roman"/>
          <w:color w:val="333333"/>
          <w:sz w:val="25"/>
          <w:szCs w:val="25"/>
          <w:highlight w:val="lightGray"/>
        </w:rPr>
        <w:t> (NFPs), its main data providers. 2018 was the first year of implementation of the </w:t>
      </w:r>
      <w:proofErr w:type="spellStart"/>
      <w:r w:rsidR="0060509C" w:rsidRPr="0060509C">
        <w:rPr>
          <w:rFonts w:ascii="Helvetica Neue" w:eastAsia="Times New Roman" w:hAnsi="Helvetica Neue" w:cs="Times New Roman"/>
          <w:color w:val="337AB7"/>
          <w:sz w:val="25"/>
          <w:szCs w:val="25"/>
          <w:highlight w:val="lightGray"/>
          <w:u w:val="single"/>
        </w:rPr>
        <w:fldChar w:fldCharType="begin"/>
      </w:r>
      <w:r w:rsidR="0060509C" w:rsidRPr="0060509C">
        <w:rPr>
          <w:rFonts w:ascii="Helvetica Neue" w:eastAsia="Times New Roman" w:hAnsi="Helvetica Neue" w:cs="Times New Roman"/>
          <w:color w:val="337AB7"/>
          <w:sz w:val="25"/>
          <w:szCs w:val="25"/>
          <w:highlight w:val="lightGray"/>
          <w:u w:val="single"/>
        </w:rPr>
        <w:instrText xml:space="preserve"> HYPERLINK "http://www.emcdda.europa.eu/publications/work-programmes-and-strategies/reitox-development-framework" </w:instrText>
      </w:r>
      <w:r w:rsidR="0060509C" w:rsidRPr="0060509C">
        <w:rPr>
          <w:rFonts w:ascii="Helvetica Neue" w:eastAsia="Times New Roman" w:hAnsi="Helvetica Neue" w:cs="Times New Roman"/>
          <w:color w:val="337AB7"/>
          <w:sz w:val="25"/>
          <w:szCs w:val="25"/>
          <w:highlight w:val="lightGray"/>
          <w:u w:val="single"/>
        </w:rPr>
        <w:fldChar w:fldCharType="separate"/>
      </w:r>
      <w:r w:rsidRPr="0060509C">
        <w:rPr>
          <w:rFonts w:ascii="Helvetica Neue" w:eastAsia="Times New Roman" w:hAnsi="Helvetica Neue" w:cs="Times New Roman"/>
          <w:color w:val="337AB7"/>
          <w:sz w:val="25"/>
          <w:szCs w:val="25"/>
          <w:highlight w:val="lightGray"/>
          <w:u w:val="single"/>
        </w:rPr>
        <w:t>Reitox</w:t>
      </w:r>
      <w:proofErr w:type="spellEnd"/>
      <w:r w:rsidRPr="0060509C">
        <w:rPr>
          <w:rFonts w:ascii="Helvetica Neue" w:eastAsia="Times New Roman" w:hAnsi="Helvetica Neue" w:cs="Times New Roman"/>
          <w:color w:val="337AB7"/>
          <w:sz w:val="25"/>
          <w:szCs w:val="25"/>
          <w:highlight w:val="lightGray"/>
          <w:u w:val="single"/>
        </w:rPr>
        <w:t xml:space="preserve"> Development Framework</w:t>
      </w:r>
      <w:r w:rsidR="0060509C" w:rsidRPr="0060509C">
        <w:rPr>
          <w:rFonts w:ascii="Helvetica Neue" w:eastAsia="Times New Roman" w:hAnsi="Helvetica Neue" w:cs="Times New Roman"/>
          <w:color w:val="337AB7"/>
          <w:sz w:val="25"/>
          <w:szCs w:val="25"/>
          <w:highlight w:val="lightGray"/>
          <w:u w:val="single"/>
        </w:rPr>
        <w:fldChar w:fldCharType="end"/>
      </w:r>
      <w:r w:rsidRPr="0060509C">
        <w:rPr>
          <w:rFonts w:ascii="Helvetica Neue" w:eastAsia="Times New Roman" w:hAnsi="Helvetica Neue" w:cs="Times New Roman"/>
          <w:color w:val="333333"/>
          <w:sz w:val="25"/>
          <w:szCs w:val="25"/>
          <w:highlight w:val="lightGray"/>
        </w:rPr>
        <w:t xml:space="preserve">, adopted by the heads of the NFPs in 2017, and much of the agency’s efforts were focused on supporting the NFPs in this </w:t>
      </w:r>
      <w:proofErr w:type="spellStart"/>
      <w:r w:rsidRPr="0060509C">
        <w:rPr>
          <w:rFonts w:ascii="Helvetica Neue" w:eastAsia="Times New Roman" w:hAnsi="Helvetica Neue" w:cs="Times New Roman"/>
          <w:color w:val="333333"/>
          <w:sz w:val="25"/>
          <w:szCs w:val="25"/>
          <w:highlight w:val="lightGray"/>
        </w:rPr>
        <w:t>endeavour</w:t>
      </w:r>
      <w:proofErr w:type="spellEnd"/>
      <w:r w:rsidRPr="0060509C">
        <w:rPr>
          <w:rFonts w:ascii="Helvetica Neue" w:eastAsia="Times New Roman" w:hAnsi="Helvetica Neue" w:cs="Times New Roman"/>
          <w:color w:val="333333"/>
          <w:sz w:val="25"/>
          <w:szCs w:val="25"/>
          <w:highlight w:val="lightGray"/>
        </w:rPr>
        <w:t>.</w:t>
      </w:r>
    </w:p>
    <w:p w14:paraId="1EADBE0D" w14:textId="47401FA8" w:rsidR="00BE080D" w:rsidRPr="0060509C" w:rsidRDefault="008301C3" w:rsidP="0060509C">
      <w:pPr>
        <w:rPr>
          <w:rFonts w:ascii="Helvetica Neue" w:eastAsia="Times New Roman" w:hAnsi="Helvetica Neue" w:cs="Times New Roman"/>
          <w:color w:val="333333"/>
          <w:sz w:val="25"/>
          <w:szCs w:val="25"/>
        </w:rPr>
      </w:pPr>
      <w:r w:rsidRPr="0060509C">
        <w:rPr>
          <w:rFonts w:ascii="Helvetica Neue" w:eastAsia="Times New Roman" w:hAnsi="Helvetica Neue" w:cs="Times New Roman"/>
          <w:color w:val="333333"/>
          <w:sz w:val="25"/>
          <w:szCs w:val="25"/>
          <w:highlight w:val="lightGray"/>
        </w:rPr>
        <w:t xml:space="preserve">Finally, a key development in working with partners was the signing of a grant agreement between the EC and the EMCDDA to implement, from January 2019, a new technical cooperation project for European </w:t>
      </w:r>
      <w:proofErr w:type="spellStart"/>
      <w:r w:rsidRPr="0060509C">
        <w:rPr>
          <w:rFonts w:ascii="Helvetica Neue" w:eastAsia="Times New Roman" w:hAnsi="Helvetica Neue" w:cs="Times New Roman"/>
          <w:color w:val="333333"/>
          <w:sz w:val="25"/>
          <w:szCs w:val="25"/>
          <w:highlight w:val="lightGray"/>
        </w:rPr>
        <w:t>Neighbourhood</w:t>
      </w:r>
      <w:proofErr w:type="spellEnd"/>
      <w:r w:rsidRPr="0060509C">
        <w:rPr>
          <w:rFonts w:ascii="Helvetica Neue" w:eastAsia="Times New Roman" w:hAnsi="Helvetica Neue" w:cs="Times New Roman"/>
          <w:color w:val="333333"/>
          <w:sz w:val="25"/>
          <w:szCs w:val="25"/>
          <w:highlight w:val="lightGray"/>
        </w:rPr>
        <w:t xml:space="preserve"> Policy partner countries. Entitled ‘</w:t>
      </w:r>
      <w:hyperlink r:id="rId11" w:history="1">
        <w:r w:rsidRPr="0060509C">
          <w:rPr>
            <w:rFonts w:ascii="Helvetica Neue" w:eastAsia="Times New Roman" w:hAnsi="Helvetica Neue" w:cs="Times New Roman"/>
            <w:color w:val="337AB7"/>
            <w:sz w:val="25"/>
            <w:szCs w:val="25"/>
            <w:highlight w:val="lightGray"/>
            <w:u w:val="single"/>
          </w:rPr>
          <w:t>EU4 Monitoring Drugs</w:t>
        </w:r>
      </w:hyperlink>
      <w:r w:rsidRPr="0060509C">
        <w:rPr>
          <w:rFonts w:ascii="Helvetica Neue" w:eastAsia="Times New Roman" w:hAnsi="Helvetica Neue" w:cs="Times New Roman"/>
          <w:color w:val="333333"/>
          <w:sz w:val="25"/>
          <w:szCs w:val="25"/>
          <w:highlight w:val="lightGray"/>
        </w:rPr>
        <w:t>’, this will be the largest technical cooperation project carried out so far by the agency.</w:t>
      </w:r>
    </w:p>
    <w:sectPr w:rsidR="00BE080D" w:rsidRPr="0060509C"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E0DEC"/>
    <w:multiLevelType w:val="multilevel"/>
    <w:tmpl w:val="747E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913C86"/>
    <w:multiLevelType w:val="multilevel"/>
    <w:tmpl w:val="49CA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E01941"/>
    <w:multiLevelType w:val="multilevel"/>
    <w:tmpl w:val="FE72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FF7D7B"/>
    <w:multiLevelType w:val="multilevel"/>
    <w:tmpl w:val="3A84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25D"/>
    <w:rsid w:val="00261EE9"/>
    <w:rsid w:val="00453EED"/>
    <w:rsid w:val="0052425D"/>
    <w:rsid w:val="0057708B"/>
    <w:rsid w:val="0060509C"/>
    <w:rsid w:val="008301C3"/>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6EE10"/>
  <w14:defaultImageDpi w14:val="32767"/>
  <w15:chartTrackingRefBased/>
  <w15:docId w15:val="{1FEDA83C-BB81-EE42-998B-6CACA20C4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301C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301C3"/>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301C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1C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301C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301C3"/>
    <w:rPr>
      <w:rFonts w:ascii="Times New Roman" w:eastAsia="Times New Roman" w:hAnsi="Times New Roman" w:cs="Times New Roman"/>
      <w:b/>
      <w:bCs/>
    </w:rPr>
  </w:style>
  <w:style w:type="paragraph" w:customStyle="1" w:styleId="printhtml">
    <w:name w:val="print_html"/>
    <w:basedOn w:val="Normal"/>
    <w:rsid w:val="008301C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301C3"/>
    <w:rPr>
      <w:color w:val="0000FF"/>
      <w:u w:val="single"/>
    </w:rPr>
  </w:style>
  <w:style w:type="character" w:customStyle="1" w:styleId="apple-converted-space">
    <w:name w:val="apple-converted-space"/>
    <w:basedOn w:val="DefaultParagraphFont"/>
    <w:rsid w:val="008301C3"/>
  </w:style>
  <w:style w:type="paragraph" w:customStyle="1" w:styleId="printpdf">
    <w:name w:val="print_pdf"/>
    <w:basedOn w:val="Normal"/>
    <w:rsid w:val="008301C3"/>
    <w:pPr>
      <w:spacing w:before="100" w:beforeAutospacing="1" w:after="100" w:afterAutospacing="1"/>
    </w:pPr>
    <w:rPr>
      <w:rFonts w:ascii="Times New Roman" w:eastAsia="Times New Roman" w:hAnsi="Times New Roman" w:cs="Times New Roman"/>
    </w:rPr>
  </w:style>
  <w:style w:type="paragraph" w:customStyle="1" w:styleId="news-metadata">
    <w:name w:val="news-metadata"/>
    <w:basedOn w:val="Normal"/>
    <w:rsid w:val="008301C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301C3"/>
    <w:rPr>
      <w:i/>
      <w:iCs/>
    </w:rPr>
  </w:style>
  <w:style w:type="character" w:customStyle="1" w:styleId="news-location">
    <w:name w:val="news-location"/>
    <w:basedOn w:val="DefaultParagraphFont"/>
    <w:rsid w:val="008301C3"/>
  </w:style>
  <w:style w:type="character" w:styleId="Strong">
    <w:name w:val="Strong"/>
    <w:basedOn w:val="DefaultParagraphFont"/>
    <w:uiPriority w:val="22"/>
    <w:qFormat/>
    <w:rsid w:val="008301C3"/>
    <w:rPr>
      <w:b/>
      <w:bCs/>
    </w:rPr>
  </w:style>
  <w:style w:type="character" w:customStyle="1" w:styleId="date-display-single">
    <w:name w:val="date-display-single"/>
    <w:basedOn w:val="DefaultParagraphFont"/>
    <w:rsid w:val="008301C3"/>
  </w:style>
  <w:style w:type="paragraph" w:customStyle="1" w:styleId="field-items">
    <w:name w:val="field-items"/>
    <w:basedOn w:val="Normal"/>
    <w:rsid w:val="008301C3"/>
    <w:pPr>
      <w:spacing w:before="100" w:beforeAutospacing="1" w:after="100" w:afterAutospacing="1"/>
    </w:pPr>
    <w:rPr>
      <w:rFonts w:ascii="Times New Roman" w:eastAsia="Times New Roman" w:hAnsi="Times New Roman" w:cs="Times New Roman"/>
    </w:rPr>
  </w:style>
  <w:style w:type="character" w:customStyle="1" w:styleId="field-item">
    <w:name w:val="field-item"/>
    <w:basedOn w:val="DefaultParagraphFont"/>
    <w:rsid w:val="008301C3"/>
  </w:style>
  <w:style w:type="paragraph" w:styleId="NormalWeb">
    <w:name w:val="Normal (Web)"/>
    <w:basedOn w:val="Normal"/>
    <w:uiPriority w:val="99"/>
    <w:semiHidden/>
    <w:unhideWhenUsed/>
    <w:rsid w:val="008301C3"/>
    <w:pPr>
      <w:spacing w:before="100" w:beforeAutospacing="1" w:after="100" w:afterAutospacing="1"/>
    </w:pPr>
    <w:rPr>
      <w:rFonts w:ascii="Times New Roman" w:eastAsia="Times New Roman" w:hAnsi="Times New Roman" w:cs="Times New Roman"/>
    </w:rPr>
  </w:style>
  <w:style w:type="paragraph" w:customStyle="1" w:styleId="mail">
    <w:name w:val="mail"/>
    <w:basedOn w:val="Normal"/>
    <w:rsid w:val="008301C3"/>
    <w:pPr>
      <w:spacing w:before="100" w:beforeAutospacing="1" w:after="100" w:afterAutospacing="1"/>
    </w:pPr>
    <w:rPr>
      <w:rFonts w:ascii="Times New Roman" w:eastAsia="Times New Roman" w:hAnsi="Times New Roman" w:cs="Times New Roman"/>
    </w:rPr>
  </w:style>
  <w:style w:type="paragraph" w:customStyle="1" w:styleId="button-newsreleases">
    <w:name w:val="button-newsreleases"/>
    <w:basedOn w:val="Normal"/>
    <w:rsid w:val="008301C3"/>
    <w:pPr>
      <w:spacing w:before="100" w:beforeAutospacing="1" w:after="100" w:afterAutospacing="1"/>
    </w:pPr>
    <w:rPr>
      <w:rFonts w:ascii="Times New Roman" w:eastAsia="Times New Roman" w:hAnsi="Times New Roman" w:cs="Times New Roman"/>
    </w:rPr>
  </w:style>
  <w:style w:type="paragraph" w:customStyle="1" w:styleId="drugnet-logo">
    <w:name w:val="drugnet-logo"/>
    <w:basedOn w:val="Normal"/>
    <w:rsid w:val="008301C3"/>
    <w:pPr>
      <w:spacing w:before="100" w:beforeAutospacing="1" w:after="100" w:afterAutospacing="1"/>
    </w:pPr>
    <w:rPr>
      <w:rFonts w:ascii="Times New Roman" w:eastAsia="Times New Roman" w:hAnsi="Times New Roman" w:cs="Times New Roman"/>
    </w:rPr>
  </w:style>
  <w:style w:type="paragraph" w:customStyle="1" w:styleId="name">
    <w:name w:val="name"/>
    <w:basedOn w:val="Normal"/>
    <w:rsid w:val="008301C3"/>
    <w:pPr>
      <w:spacing w:before="100" w:beforeAutospacing="1" w:after="100" w:afterAutospacing="1"/>
    </w:pPr>
    <w:rPr>
      <w:rFonts w:ascii="Times New Roman" w:eastAsia="Times New Roman" w:hAnsi="Times New Roman" w:cs="Times New Roman"/>
    </w:rPr>
  </w:style>
  <w:style w:type="paragraph" w:customStyle="1" w:styleId="drugnet-subscription">
    <w:name w:val="drugnet-subscription"/>
    <w:basedOn w:val="Normal"/>
    <w:rsid w:val="008301C3"/>
    <w:pPr>
      <w:spacing w:before="100" w:beforeAutospacing="1" w:after="100" w:afterAutospacing="1"/>
    </w:pPr>
    <w:rPr>
      <w:rFonts w:ascii="Times New Roman" w:eastAsia="Times New Roman" w:hAnsi="Times New Roman" w:cs="Times New Roman"/>
    </w:rPr>
  </w:style>
  <w:style w:type="paragraph" w:customStyle="1" w:styleId="button-drugnet">
    <w:name w:val="button-drugnet"/>
    <w:basedOn w:val="Normal"/>
    <w:rsid w:val="008301C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924609">
      <w:bodyDiv w:val="1"/>
      <w:marLeft w:val="0"/>
      <w:marRight w:val="0"/>
      <w:marTop w:val="0"/>
      <w:marBottom w:val="0"/>
      <w:divBdr>
        <w:top w:val="none" w:sz="0" w:space="0" w:color="auto"/>
        <w:left w:val="none" w:sz="0" w:space="0" w:color="auto"/>
        <w:bottom w:val="none" w:sz="0" w:space="0" w:color="auto"/>
        <w:right w:val="none" w:sz="0" w:space="0" w:color="auto"/>
      </w:divBdr>
      <w:divsChild>
        <w:div w:id="1628701965">
          <w:marLeft w:val="0"/>
          <w:marRight w:val="0"/>
          <w:marTop w:val="300"/>
          <w:marBottom w:val="0"/>
          <w:divBdr>
            <w:top w:val="none" w:sz="0" w:space="0" w:color="auto"/>
            <w:left w:val="none" w:sz="0" w:space="0" w:color="auto"/>
            <w:bottom w:val="none" w:sz="0" w:space="0" w:color="auto"/>
            <w:right w:val="none" w:sz="0" w:space="0" w:color="auto"/>
          </w:divBdr>
          <w:divsChild>
            <w:div w:id="708604912">
              <w:marLeft w:val="-225"/>
              <w:marRight w:val="-225"/>
              <w:marTop w:val="0"/>
              <w:marBottom w:val="0"/>
              <w:divBdr>
                <w:top w:val="none" w:sz="0" w:space="0" w:color="auto"/>
                <w:left w:val="none" w:sz="0" w:space="0" w:color="auto"/>
                <w:bottom w:val="none" w:sz="0" w:space="0" w:color="auto"/>
                <w:right w:val="none" w:sz="0" w:space="0" w:color="auto"/>
              </w:divBdr>
              <w:divsChild>
                <w:div w:id="1106079109">
                  <w:marLeft w:val="0"/>
                  <w:marRight w:val="0"/>
                  <w:marTop w:val="0"/>
                  <w:marBottom w:val="0"/>
                  <w:divBdr>
                    <w:top w:val="none" w:sz="0" w:space="0" w:color="auto"/>
                    <w:left w:val="none" w:sz="0" w:space="0" w:color="auto"/>
                    <w:bottom w:val="none" w:sz="0" w:space="0" w:color="auto"/>
                    <w:right w:val="none" w:sz="0" w:space="0" w:color="auto"/>
                  </w:divBdr>
                  <w:divsChild>
                    <w:div w:id="914046609">
                      <w:marLeft w:val="0"/>
                      <w:marRight w:val="150"/>
                      <w:marTop w:val="0"/>
                      <w:marBottom w:val="0"/>
                      <w:divBdr>
                        <w:top w:val="none" w:sz="0" w:space="0" w:color="auto"/>
                        <w:left w:val="none" w:sz="0" w:space="0" w:color="auto"/>
                        <w:bottom w:val="none" w:sz="0" w:space="0" w:color="auto"/>
                        <w:right w:val="none" w:sz="0" w:space="0" w:color="auto"/>
                      </w:divBdr>
                    </w:div>
                    <w:div w:id="821435028">
                      <w:marLeft w:val="0"/>
                      <w:marRight w:val="0"/>
                      <w:marTop w:val="0"/>
                      <w:marBottom w:val="0"/>
                      <w:divBdr>
                        <w:top w:val="none" w:sz="0" w:space="0" w:color="auto"/>
                        <w:left w:val="none" w:sz="0" w:space="0" w:color="auto"/>
                        <w:bottom w:val="none" w:sz="0" w:space="0" w:color="auto"/>
                        <w:right w:val="none" w:sz="0" w:space="0" w:color="auto"/>
                      </w:divBdr>
                      <w:divsChild>
                        <w:div w:id="55782152">
                          <w:marLeft w:val="180"/>
                          <w:marRight w:val="0"/>
                          <w:marTop w:val="180"/>
                          <w:marBottom w:val="360"/>
                          <w:divBdr>
                            <w:top w:val="none" w:sz="0" w:space="0" w:color="auto"/>
                            <w:left w:val="none" w:sz="0" w:space="0" w:color="auto"/>
                            <w:bottom w:val="none" w:sz="0" w:space="0" w:color="auto"/>
                            <w:right w:val="none" w:sz="0" w:space="0" w:color="auto"/>
                          </w:divBdr>
                          <w:divsChild>
                            <w:div w:id="1273781445">
                              <w:marLeft w:val="0"/>
                              <w:marRight w:val="0"/>
                              <w:marTop w:val="0"/>
                              <w:marBottom w:val="360"/>
                              <w:divBdr>
                                <w:top w:val="none" w:sz="0" w:space="0" w:color="auto"/>
                                <w:left w:val="none" w:sz="0" w:space="0" w:color="auto"/>
                                <w:bottom w:val="none" w:sz="0" w:space="0" w:color="auto"/>
                                <w:right w:val="none" w:sz="0" w:space="0" w:color="auto"/>
                              </w:divBdr>
                              <w:divsChild>
                                <w:div w:id="1786148698">
                                  <w:marLeft w:val="0"/>
                                  <w:marRight w:val="0"/>
                                  <w:marTop w:val="0"/>
                                  <w:marBottom w:val="0"/>
                                  <w:divBdr>
                                    <w:top w:val="none" w:sz="0" w:space="0" w:color="auto"/>
                                    <w:left w:val="none" w:sz="0" w:space="0" w:color="auto"/>
                                    <w:bottom w:val="none" w:sz="0" w:space="0" w:color="auto"/>
                                    <w:right w:val="none" w:sz="0" w:space="0" w:color="auto"/>
                                  </w:divBdr>
                                </w:div>
                                <w:div w:id="1647393264">
                                  <w:marLeft w:val="0"/>
                                  <w:marRight w:val="0"/>
                                  <w:marTop w:val="0"/>
                                  <w:marBottom w:val="0"/>
                                  <w:divBdr>
                                    <w:top w:val="none" w:sz="0" w:space="0" w:color="auto"/>
                                    <w:left w:val="none" w:sz="0" w:space="0" w:color="auto"/>
                                    <w:bottom w:val="none" w:sz="0" w:space="0" w:color="auto"/>
                                    <w:right w:val="none" w:sz="0" w:space="0" w:color="auto"/>
                                  </w:divBdr>
                                  <w:divsChild>
                                    <w:div w:id="91778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484">
                              <w:marLeft w:val="0"/>
                              <w:marRight w:val="0"/>
                              <w:marTop w:val="0"/>
                              <w:marBottom w:val="0"/>
                              <w:divBdr>
                                <w:top w:val="single" w:sz="6" w:space="2" w:color="CFCFCF"/>
                                <w:left w:val="single" w:sz="6" w:space="2" w:color="CFCFCF"/>
                                <w:bottom w:val="single" w:sz="6" w:space="2" w:color="CFCFCF"/>
                                <w:right w:val="single" w:sz="6" w:space="2" w:color="CFCFCF"/>
                              </w:divBdr>
                              <w:divsChild>
                                <w:div w:id="279606872">
                                  <w:marLeft w:val="0"/>
                                  <w:marRight w:val="0"/>
                                  <w:marTop w:val="0"/>
                                  <w:marBottom w:val="0"/>
                                  <w:divBdr>
                                    <w:top w:val="none" w:sz="0" w:space="0" w:color="auto"/>
                                    <w:left w:val="none" w:sz="0" w:space="0" w:color="auto"/>
                                    <w:bottom w:val="none" w:sz="0" w:space="0" w:color="auto"/>
                                    <w:right w:val="none" w:sz="0" w:space="0" w:color="auto"/>
                                  </w:divBdr>
                                </w:div>
                                <w:div w:id="815298435">
                                  <w:marLeft w:val="0"/>
                                  <w:marRight w:val="0"/>
                                  <w:marTop w:val="0"/>
                                  <w:marBottom w:val="0"/>
                                  <w:divBdr>
                                    <w:top w:val="none" w:sz="0" w:space="0" w:color="auto"/>
                                    <w:left w:val="none" w:sz="0" w:space="0" w:color="auto"/>
                                    <w:bottom w:val="none" w:sz="0" w:space="0" w:color="auto"/>
                                    <w:right w:val="none" w:sz="0" w:space="0" w:color="auto"/>
                                  </w:divBdr>
                                  <w:divsChild>
                                    <w:div w:id="153927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2262">
                              <w:marLeft w:val="0"/>
                              <w:marRight w:val="0"/>
                              <w:marTop w:val="0"/>
                              <w:marBottom w:val="0"/>
                              <w:divBdr>
                                <w:top w:val="none" w:sz="0" w:space="0" w:color="auto"/>
                                <w:left w:val="none" w:sz="0" w:space="0" w:color="auto"/>
                                <w:bottom w:val="none" w:sz="0" w:space="0" w:color="auto"/>
                                <w:right w:val="none" w:sz="0" w:space="0" w:color="auto"/>
                              </w:divBdr>
                            </w:div>
                            <w:div w:id="1510094281">
                              <w:marLeft w:val="0"/>
                              <w:marRight w:val="0"/>
                              <w:marTop w:val="0"/>
                              <w:marBottom w:val="0"/>
                              <w:divBdr>
                                <w:top w:val="none" w:sz="0" w:space="0" w:color="auto"/>
                                <w:left w:val="none" w:sz="0" w:space="0" w:color="auto"/>
                                <w:bottom w:val="none" w:sz="0" w:space="0" w:color="auto"/>
                                <w:right w:val="none" w:sz="0" w:space="0" w:color="auto"/>
                              </w:divBdr>
                            </w:div>
                          </w:divsChild>
                        </w:div>
                        <w:div w:id="419449493">
                          <w:marLeft w:val="0"/>
                          <w:marRight w:val="0"/>
                          <w:marTop w:val="0"/>
                          <w:marBottom w:val="0"/>
                          <w:divBdr>
                            <w:top w:val="none" w:sz="0" w:space="0" w:color="auto"/>
                            <w:left w:val="none" w:sz="0" w:space="0" w:color="auto"/>
                            <w:bottom w:val="none" w:sz="0" w:space="0" w:color="auto"/>
                            <w:right w:val="none" w:sz="0" w:space="0" w:color="auto"/>
                          </w:divBdr>
                          <w:divsChild>
                            <w:div w:id="1285426344">
                              <w:marLeft w:val="0"/>
                              <w:marRight w:val="0"/>
                              <w:marTop w:val="0"/>
                              <w:marBottom w:val="0"/>
                              <w:divBdr>
                                <w:top w:val="none" w:sz="0" w:space="0" w:color="auto"/>
                                <w:left w:val="none" w:sz="0" w:space="0" w:color="auto"/>
                                <w:bottom w:val="none" w:sz="0" w:space="0" w:color="auto"/>
                                <w:right w:val="none" w:sz="0" w:space="0" w:color="auto"/>
                              </w:divBdr>
                              <w:divsChild>
                                <w:div w:id="162689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048970">
          <w:marLeft w:val="0"/>
          <w:marRight w:val="0"/>
          <w:marTop w:val="300"/>
          <w:marBottom w:val="0"/>
          <w:divBdr>
            <w:top w:val="none" w:sz="0" w:space="0" w:color="auto"/>
            <w:left w:val="none" w:sz="0" w:space="0" w:color="auto"/>
            <w:bottom w:val="none" w:sz="0" w:space="0" w:color="auto"/>
            <w:right w:val="none" w:sz="0" w:space="0" w:color="auto"/>
          </w:divBdr>
          <w:divsChild>
            <w:div w:id="1631863976">
              <w:marLeft w:val="0"/>
              <w:marRight w:val="0"/>
              <w:marTop w:val="0"/>
              <w:marBottom w:val="0"/>
              <w:divBdr>
                <w:top w:val="none" w:sz="0" w:space="0" w:color="auto"/>
                <w:left w:val="none" w:sz="0" w:space="0" w:color="auto"/>
                <w:bottom w:val="none" w:sz="0" w:space="0" w:color="auto"/>
                <w:right w:val="none" w:sz="0" w:space="0" w:color="auto"/>
              </w:divBdr>
              <w:divsChild>
                <w:div w:id="388696577">
                  <w:marLeft w:val="0"/>
                  <w:marRight w:val="0"/>
                  <w:marTop w:val="0"/>
                  <w:marBottom w:val="0"/>
                  <w:divBdr>
                    <w:top w:val="none" w:sz="0" w:space="0" w:color="auto"/>
                    <w:left w:val="none" w:sz="0" w:space="0" w:color="auto"/>
                    <w:bottom w:val="none" w:sz="0" w:space="0" w:color="auto"/>
                    <w:right w:val="none" w:sz="0" w:space="0" w:color="auto"/>
                  </w:divBdr>
                  <w:divsChild>
                    <w:div w:id="120343114">
                      <w:marLeft w:val="0"/>
                      <w:marRight w:val="0"/>
                      <w:marTop w:val="0"/>
                      <w:marBottom w:val="0"/>
                      <w:divBdr>
                        <w:top w:val="none" w:sz="0" w:space="0" w:color="auto"/>
                        <w:left w:val="none" w:sz="0" w:space="0" w:color="auto"/>
                        <w:bottom w:val="none" w:sz="0" w:space="0" w:color="auto"/>
                        <w:right w:val="none" w:sz="0" w:space="0" w:color="auto"/>
                      </w:divBdr>
                      <w:divsChild>
                        <w:div w:id="19343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750657">
              <w:marLeft w:val="0"/>
              <w:marRight w:val="0"/>
              <w:marTop w:val="0"/>
              <w:marBottom w:val="0"/>
              <w:divBdr>
                <w:top w:val="none" w:sz="0" w:space="0" w:color="auto"/>
                <w:left w:val="none" w:sz="0" w:space="0" w:color="auto"/>
                <w:bottom w:val="none" w:sz="0" w:space="0" w:color="auto"/>
                <w:right w:val="none" w:sz="0" w:space="0" w:color="auto"/>
              </w:divBdr>
              <w:divsChild>
                <w:div w:id="979384638">
                  <w:marLeft w:val="0"/>
                  <w:marRight w:val="0"/>
                  <w:marTop w:val="0"/>
                  <w:marBottom w:val="0"/>
                  <w:divBdr>
                    <w:top w:val="none" w:sz="0" w:space="0" w:color="auto"/>
                    <w:left w:val="none" w:sz="0" w:space="0" w:color="auto"/>
                    <w:bottom w:val="none" w:sz="0" w:space="0" w:color="auto"/>
                    <w:right w:val="none" w:sz="0" w:space="0" w:color="auto"/>
                  </w:divBdr>
                  <w:divsChild>
                    <w:div w:id="2059284310">
                      <w:marLeft w:val="0"/>
                      <w:marRight w:val="0"/>
                      <w:marTop w:val="0"/>
                      <w:marBottom w:val="0"/>
                      <w:divBdr>
                        <w:top w:val="none" w:sz="0" w:space="0" w:color="auto"/>
                        <w:left w:val="none" w:sz="0" w:space="0" w:color="auto"/>
                        <w:bottom w:val="dotted" w:sz="18" w:space="15" w:color="auto"/>
                        <w:right w:val="none" w:sz="0" w:space="0" w:color="auto"/>
                      </w:divBdr>
                    </w:div>
                    <w:div w:id="182717859">
                      <w:marLeft w:val="0"/>
                      <w:marRight w:val="0"/>
                      <w:marTop w:val="0"/>
                      <w:marBottom w:val="0"/>
                      <w:divBdr>
                        <w:top w:val="none" w:sz="0" w:space="0" w:color="auto"/>
                        <w:left w:val="none" w:sz="0" w:space="0" w:color="auto"/>
                        <w:bottom w:val="none" w:sz="0" w:space="0" w:color="auto"/>
                        <w:right w:val="none" w:sz="0" w:space="0" w:color="auto"/>
                      </w:divBdr>
                    </w:div>
                  </w:divsChild>
                </w:div>
                <w:div w:id="548613903">
                  <w:marLeft w:val="0"/>
                  <w:marRight w:val="0"/>
                  <w:marTop w:val="0"/>
                  <w:marBottom w:val="0"/>
                  <w:divBdr>
                    <w:top w:val="single" w:sz="6" w:space="5" w:color="CDD1E7"/>
                    <w:left w:val="single" w:sz="6" w:space="5" w:color="CDD1E7"/>
                    <w:bottom w:val="single" w:sz="6" w:space="5" w:color="CDD1E7"/>
                    <w:right w:val="single" w:sz="6" w:space="5" w:color="CDD1E7"/>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cdda.europa.eu/publications/work-programmes-and-strategies/strategy-2025_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mcdda.europa.eu/countri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europa.eu/home-affairs/news/20190514_europe-protects-eu-agency-drugs-recognised-hub-excellence-europe-internationally-emcdda_en" TargetMode="External"/><Relationship Id="rId11" Type="http://schemas.openxmlformats.org/officeDocument/2006/relationships/hyperlink" Target="http://www.emcdda.europa.eu/activities/eu4md" TargetMode="External"/><Relationship Id="rId5" Type="http://schemas.openxmlformats.org/officeDocument/2006/relationships/hyperlink" Target="http://www.emcdda.europa.eu/publications/gra/2018" TargetMode="External"/><Relationship Id="rId10" Type="http://schemas.openxmlformats.org/officeDocument/2006/relationships/hyperlink" Target="http://www.emcdda.europa.eu/news/2018/8/new-legislation-brings-faster-response-to-new-psychoactive-substances" TargetMode="External"/><Relationship Id="rId4" Type="http://schemas.openxmlformats.org/officeDocument/2006/relationships/webSettings" Target="webSettings.xml"/><Relationship Id="rId9" Type="http://schemas.openxmlformats.org/officeDocument/2006/relationships/hyperlink" Target="http://www.emcdda.europa.eu/publications/topic-overviews/eu-early-warning-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699</Words>
  <Characters>3989</Characters>
  <Application>Microsoft Office Word</Application>
  <DocSecurity>0</DocSecurity>
  <Lines>33</Lines>
  <Paragraphs>9</Paragraphs>
  <ScaleCrop>false</ScaleCrop>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2020-02-18T14:56:00Z</dcterms:created>
  <dcterms:modified xsi:type="dcterms:W3CDTF">2020-05-13T09:17:00Z</dcterms:modified>
</cp:coreProperties>
</file>