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6DC0E" w14:textId="77777777" w:rsidR="00F61BE9" w:rsidRPr="00F61BE9" w:rsidRDefault="00F61BE9" w:rsidP="00F61BE9">
      <w:pPr>
        <w:shd w:val="clear" w:color="auto" w:fill="FFFFFF"/>
        <w:spacing w:after="100" w:afterAutospacing="1"/>
        <w:outlineLvl w:val="1"/>
        <w:rPr>
          <w:rFonts w:ascii="Helvetica" w:eastAsia="Times New Roman" w:hAnsi="Helvetica" w:cs="Times New Roman"/>
          <w:caps/>
          <w:color w:val="3B3D91"/>
          <w:sz w:val="36"/>
          <w:szCs w:val="36"/>
        </w:rPr>
      </w:pPr>
      <w:r w:rsidRPr="000B1191">
        <w:rPr>
          <w:rFonts w:ascii="Helvetica" w:eastAsia="Times New Roman" w:hAnsi="Helvetica" w:cs="Times New Roman"/>
          <w:caps/>
          <w:color w:val="3B3D91"/>
          <w:sz w:val="36"/>
          <w:szCs w:val="36"/>
        </w:rPr>
        <w:t>ESMA PUBLISHES 2ND ANNUAL REPORT ON EMIR PENALTIES AND SUPERVISORY MEASURES</w:t>
      </w:r>
    </w:p>
    <w:p w14:paraId="3AD4D2CA" w14:textId="77777777" w:rsidR="00F61BE9" w:rsidRPr="00F61BE9" w:rsidRDefault="00F61BE9" w:rsidP="00F61BE9">
      <w:pPr>
        <w:shd w:val="clear" w:color="auto" w:fill="FFFFFF"/>
        <w:jc w:val="right"/>
        <w:rPr>
          <w:rFonts w:ascii="Helvetica" w:eastAsia="Times New Roman" w:hAnsi="Helvetica" w:cs="Times New Roman"/>
          <w:color w:val="292C32"/>
          <w:sz w:val="20"/>
          <w:szCs w:val="20"/>
        </w:rPr>
      </w:pPr>
      <w:r w:rsidRPr="00F61BE9">
        <w:rPr>
          <w:rFonts w:ascii="Helvetica" w:eastAsia="Times New Roman" w:hAnsi="Helvetica" w:cs="Times New Roman"/>
          <w:color w:val="292C32"/>
          <w:sz w:val="20"/>
          <w:szCs w:val="20"/>
        </w:rPr>
        <w:t>09 December 2019 </w:t>
      </w:r>
    </w:p>
    <w:p w14:paraId="11A750B9" w14:textId="77777777" w:rsidR="00F61BE9" w:rsidRPr="00F61BE9" w:rsidRDefault="00F61BE9" w:rsidP="00F61BE9">
      <w:pPr>
        <w:shd w:val="clear" w:color="auto" w:fill="EEEEF0"/>
        <w:rPr>
          <w:rFonts w:ascii="Helvetica" w:eastAsia="Times New Roman" w:hAnsi="Helvetica" w:cs="Times New Roman"/>
          <w:caps/>
          <w:color w:val="3B3D91"/>
        </w:rPr>
      </w:pPr>
      <w:r w:rsidRPr="00F61BE9">
        <w:rPr>
          <w:rFonts w:ascii="Helvetica" w:eastAsia="Times New Roman" w:hAnsi="Helvetica" w:cs="Times New Roman"/>
          <w:caps/>
          <w:color w:val="3B3D91"/>
        </w:rPr>
        <w:t>POST TRADING</w:t>
      </w:r>
    </w:p>
    <w:p w14:paraId="5AD08BAB" w14:textId="77777777" w:rsidR="00F61BE9" w:rsidRPr="00F61BE9" w:rsidRDefault="00F61BE9" w:rsidP="00F61BE9">
      <w:pPr>
        <w:shd w:val="clear" w:color="auto" w:fill="EEEEF0"/>
        <w:rPr>
          <w:rFonts w:ascii="Helvetica" w:eastAsia="Times New Roman" w:hAnsi="Helvetica" w:cs="Times New Roman"/>
          <w:caps/>
          <w:color w:val="3B3D91"/>
        </w:rPr>
      </w:pPr>
      <w:r w:rsidRPr="00F61BE9">
        <w:rPr>
          <w:rFonts w:ascii="Helvetica" w:eastAsia="Times New Roman" w:hAnsi="Helvetica" w:cs="Times New Roman"/>
          <w:caps/>
          <w:color w:val="3B3D91"/>
        </w:rPr>
        <w:t>PRESS RELEASES</w:t>
      </w:r>
    </w:p>
    <w:p w14:paraId="0D8AFD62" w14:textId="77777777" w:rsidR="00F61BE9" w:rsidRPr="00F61BE9" w:rsidRDefault="00F61BE9" w:rsidP="00F61BE9">
      <w:pPr>
        <w:shd w:val="clear" w:color="auto" w:fill="EEEEF0"/>
        <w:rPr>
          <w:rFonts w:ascii="Helvetica" w:eastAsia="Times New Roman" w:hAnsi="Helvetica" w:cs="Times New Roman"/>
          <w:caps/>
          <w:color w:val="3B3D91"/>
        </w:rPr>
      </w:pPr>
      <w:r w:rsidRPr="00F61BE9">
        <w:rPr>
          <w:rFonts w:ascii="Helvetica" w:eastAsia="Times New Roman" w:hAnsi="Helvetica" w:cs="Times New Roman"/>
          <w:caps/>
          <w:color w:val="3B3D91"/>
        </w:rPr>
        <w:t>SUPERVISORY CONVERGENCE</w:t>
      </w:r>
    </w:p>
    <w:p w14:paraId="28275F69" w14:textId="77777777" w:rsidR="00F61BE9" w:rsidRPr="00F61BE9" w:rsidRDefault="00F61BE9" w:rsidP="00F61BE9">
      <w:pPr>
        <w:shd w:val="clear" w:color="auto" w:fill="FFFFFF"/>
        <w:rPr>
          <w:rFonts w:ascii="Helvetica" w:eastAsia="Times New Roman" w:hAnsi="Helvetica" w:cs="Times New Roman"/>
          <w:color w:val="292C32"/>
        </w:rPr>
      </w:pPr>
      <w:r w:rsidRPr="00F61BE9">
        <w:rPr>
          <w:rFonts w:ascii="Helvetica" w:eastAsia="Times New Roman" w:hAnsi="Helvetica" w:cs="Times New Roman"/>
          <w:color w:val="292C32"/>
        </w:rPr>
        <w:t xml:space="preserve">The European Securities and Markets Authority (ESMA), </w:t>
      </w:r>
      <w:r w:rsidRPr="0075774A">
        <w:rPr>
          <w:rFonts w:ascii="Helvetica" w:eastAsia="Times New Roman" w:hAnsi="Helvetica" w:cs="Times New Roman"/>
          <w:color w:val="292C32"/>
          <w:highlight w:val="lightGray"/>
        </w:rPr>
        <w:t>the EU’s securities markets regulator, has published its second </w:t>
      </w:r>
      <w:hyperlink r:id="rId5" w:history="1">
        <w:r w:rsidRPr="0075774A">
          <w:rPr>
            <w:rFonts w:ascii="Helvetica" w:eastAsia="Times New Roman" w:hAnsi="Helvetica" w:cs="Times New Roman"/>
            <w:color w:val="3B3D91"/>
            <w:highlight w:val="lightGray"/>
            <w:u w:val="single"/>
          </w:rPr>
          <w:t>annual report</w:t>
        </w:r>
      </w:hyperlink>
      <w:r w:rsidRPr="0075774A">
        <w:rPr>
          <w:rFonts w:ascii="Helvetica" w:eastAsia="Times New Roman" w:hAnsi="Helvetica" w:cs="Times New Roman"/>
          <w:color w:val="292C32"/>
          <w:highlight w:val="lightGray"/>
        </w:rPr>
        <w:t> regarding supervisory measures carried out and penalties imposed by national competent authorities (NCAs) under the European Market Infrastructure Regulation (EMIR).</w:t>
      </w:r>
      <w:r w:rsidRPr="00F61BE9">
        <w:rPr>
          <w:rFonts w:ascii="Helvetica" w:eastAsia="Times New Roman" w:hAnsi="Helvetica" w:cs="Times New Roman"/>
          <w:color w:val="292C32"/>
        </w:rPr>
        <w:t> </w:t>
      </w:r>
    </w:p>
    <w:p w14:paraId="09840B93" w14:textId="77777777" w:rsidR="00F61BE9" w:rsidRPr="0051427A" w:rsidRDefault="00F61BE9" w:rsidP="00F61BE9">
      <w:pPr>
        <w:shd w:val="clear" w:color="auto" w:fill="FFFFFF"/>
        <w:rPr>
          <w:rFonts w:ascii="Helvetica" w:eastAsia="Times New Roman" w:hAnsi="Helvetica" w:cs="Times New Roman"/>
          <w:color w:val="292C32"/>
          <w:highlight w:val="lightGray"/>
        </w:rPr>
      </w:pPr>
      <w:r w:rsidRPr="0051427A">
        <w:rPr>
          <w:rFonts w:ascii="Helvetica" w:eastAsia="Times New Roman" w:hAnsi="Helvetica" w:cs="Times New Roman"/>
          <w:color w:val="292C32"/>
          <w:highlight w:val="lightGray"/>
        </w:rPr>
        <w:t>The Report, covering the period from January to December 2018, focuses on NCAs supervisory measures and enforcement actions, their powers and the interaction between NCAs and market participants, when monitoring compliance with the following EMIR requirements:</w:t>
      </w:r>
    </w:p>
    <w:p w14:paraId="29BCC45F" w14:textId="77777777" w:rsidR="00F61BE9" w:rsidRPr="0051427A" w:rsidRDefault="00F61BE9" w:rsidP="00F61BE9">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51427A">
        <w:rPr>
          <w:rFonts w:ascii="Helvetica" w:eastAsia="Times New Roman" w:hAnsi="Helvetica" w:cs="Times New Roman"/>
          <w:color w:val="292C32"/>
          <w:highlight w:val="lightGray"/>
        </w:rPr>
        <w:t>the clearing obligation for certain OTC derivatives (Art. 4 EMIR);</w:t>
      </w:r>
    </w:p>
    <w:p w14:paraId="49C62C4E" w14:textId="77777777" w:rsidR="00F61BE9" w:rsidRPr="0051427A" w:rsidRDefault="00F61BE9" w:rsidP="00F61BE9">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51427A">
        <w:rPr>
          <w:rFonts w:ascii="Helvetica" w:eastAsia="Times New Roman" w:hAnsi="Helvetica" w:cs="Times New Roman"/>
          <w:color w:val="292C32"/>
          <w:highlight w:val="lightGray"/>
        </w:rPr>
        <w:t>the reporting obligation of derivative transactions to TRs (Art. 9 EMIR);</w:t>
      </w:r>
    </w:p>
    <w:p w14:paraId="529E843A" w14:textId="77777777" w:rsidR="00F61BE9" w:rsidRPr="0051427A" w:rsidRDefault="00F61BE9" w:rsidP="00F61BE9">
      <w:pPr>
        <w:numPr>
          <w:ilvl w:val="0"/>
          <w:numId w:val="1"/>
        </w:numPr>
        <w:shd w:val="clear" w:color="auto" w:fill="FFFFFF"/>
        <w:spacing w:before="100" w:beforeAutospacing="1" w:after="100" w:afterAutospacing="1"/>
        <w:rPr>
          <w:rFonts w:ascii="Helvetica" w:eastAsia="Times New Roman" w:hAnsi="Helvetica" w:cs="Times New Roman"/>
          <w:color w:val="292C32"/>
          <w:highlight w:val="lightGray"/>
        </w:rPr>
      </w:pPr>
      <w:r w:rsidRPr="0051427A">
        <w:rPr>
          <w:rFonts w:ascii="Helvetica" w:eastAsia="Times New Roman" w:hAnsi="Helvetica" w:cs="Times New Roman"/>
          <w:color w:val="292C32"/>
          <w:highlight w:val="lightGray"/>
        </w:rPr>
        <w:t>requirements for non-financial counterparties (Art. 10 EMIR); and</w:t>
      </w:r>
    </w:p>
    <w:p w14:paraId="26438162" w14:textId="77777777" w:rsidR="00F61BE9" w:rsidRPr="0051427A" w:rsidRDefault="00F61BE9" w:rsidP="00F61BE9">
      <w:pPr>
        <w:numPr>
          <w:ilvl w:val="0"/>
          <w:numId w:val="1"/>
        </w:numPr>
        <w:shd w:val="clear" w:color="auto" w:fill="FFFFFF"/>
        <w:spacing w:before="100" w:beforeAutospacing="1" w:after="100" w:afterAutospacing="1"/>
        <w:rPr>
          <w:rFonts w:ascii="Helvetica" w:eastAsia="Times New Roman" w:hAnsi="Helvetica" w:cs="Times New Roman"/>
          <w:color w:val="292C32"/>
          <w:highlight w:val="yellow"/>
        </w:rPr>
      </w:pPr>
      <w:r w:rsidRPr="0051427A">
        <w:rPr>
          <w:rFonts w:ascii="Helvetica" w:eastAsia="Times New Roman" w:hAnsi="Helvetica" w:cs="Times New Roman"/>
          <w:color w:val="292C32"/>
          <w:highlight w:val="lightGray"/>
        </w:rPr>
        <w:t>risk mitigation techniques for non-cleared OTC derivatives (Art. 11 EMIR</w:t>
      </w:r>
      <w:bookmarkStart w:id="0" w:name="_GoBack"/>
      <w:bookmarkEnd w:id="0"/>
      <w:r w:rsidRPr="0051427A">
        <w:rPr>
          <w:rFonts w:ascii="Helvetica" w:eastAsia="Times New Roman" w:hAnsi="Helvetica" w:cs="Times New Roman"/>
          <w:color w:val="292C32"/>
          <w:highlight w:val="yellow"/>
        </w:rPr>
        <w:t>).</w:t>
      </w:r>
    </w:p>
    <w:p w14:paraId="06C75E0D" w14:textId="77777777" w:rsidR="00F61BE9" w:rsidRPr="00F61BE9" w:rsidRDefault="00F61BE9" w:rsidP="00F61BE9">
      <w:pPr>
        <w:shd w:val="clear" w:color="auto" w:fill="FFFFFF"/>
        <w:spacing w:before="180"/>
        <w:rPr>
          <w:rFonts w:ascii="Helvetica" w:eastAsia="Times New Roman" w:hAnsi="Helvetica" w:cs="Times New Roman"/>
          <w:color w:val="292C32"/>
        </w:rPr>
      </w:pPr>
      <w:r w:rsidRPr="00F61BE9">
        <w:rPr>
          <w:rFonts w:ascii="Helvetica" w:eastAsia="Times New Roman" w:hAnsi="Helvetica" w:cs="Times New Roman"/>
          <w:b/>
          <w:bCs/>
          <w:color w:val="292C32"/>
        </w:rPr>
        <w:t xml:space="preserve">Increased </w:t>
      </w:r>
      <w:proofErr w:type="spellStart"/>
      <w:r w:rsidRPr="00F61BE9">
        <w:rPr>
          <w:rFonts w:ascii="Helvetica" w:eastAsia="Times New Roman" w:hAnsi="Helvetica" w:cs="Times New Roman"/>
          <w:b/>
          <w:bCs/>
          <w:color w:val="292C32"/>
        </w:rPr>
        <w:t>harmonisation</w:t>
      </w:r>
      <w:proofErr w:type="spellEnd"/>
    </w:p>
    <w:p w14:paraId="296FDD35" w14:textId="77777777" w:rsidR="00F61BE9" w:rsidRPr="0075774A" w:rsidRDefault="00F61BE9" w:rsidP="00F61BE9">
      <w:pPr>
        <w:shd w:val="clear" w:color="auto" w:fill="FFFFFF"/>
        <w:spacing w:before="180"/>
        <w:rPr>
          <w:rFonts w:ascii="Helvetica" w:eastAsia="Times New Roman" w:hAnsi="Helvetica" w:cs="Times New Roman"/>
          <w:color w:val="292C32"/>
          <w:highlight w:val="darkGray"/>
        </w:rPr>
      </w:pPr>
      <w:r w:rsidRPr="0075774A">
        <w:rPr>
          <w:rFonts w:ascii="Helvetica" w:eastAsia="Times New Roman" w:hAnsi="Helvetica" w:cs="Times New Roman"/>
          <w:color w:val="292C32"/>
          <w:highlight w:val="darkGray"/>
        </w:rPr>
        <w:t xml:space="preserve">The Report found that some supervisory areas are highly </w:t>
      </w:r>
      <w:proofErr w:type="spellStart"/>
      <w:r w:rsidRPr="0075774A">
        <w:rPr>
          <w:rFonts w:ascii="Helvetica" w:eastAsia="Times New Roman" w:hAnsi="Helvetica" w:cs="Times New Roman"/>
          <w:color w:val="292C32"/>
          <w:highlight w:val="darkGray"/>
        </w:rPr>
        <w:t>harmonised</w:t>
      </w:r>
      <w:proofErr w:type="spellEnd"/>
      <w:r w:rsidRPr="0075774A">
        <w:rPr>
          <w:rFonts w:ascii="Helvetica" w:eastAsia="Times New Roman" w:hAnsi="Helvetica" w:cs="Times New Roman"/>
          <w:color w:val="292C32"/>
          <w:highlight w:val="darkGray"/>
        </w:rPr>
        <w:t>, such as NCAs’ sources of information used to check compliance with EMIR requirements, including trade repository data, their competences, and NCAs’ supervisory and enforcement tools.</w:t>
      </w:r>
    </w:p>
    <w:p w14:paraId="438614D8" w14:textId="77777777" w:rsidR="00F61BE9" w:rsidRPr="0075774A" w:rsidRDefault="00F61BE9" w:rsidP="00F61BE9">
      <w:pPr>
        <w:shd w:val="clear" w:color="auto" w:fill="FFFFFF"/>
        <w:spacing w:before="180"/>
        <w:rPr>
          <w:rFonts w:ascii="Helvetica" w:eastAsia="Times New Roman" w:hAnsi="Helvetica" w:cs="Times New Roman"/>
          <w:color w:val="292C32"/>
          <w:highlight w:val="darkGray"/>
        </w:rPr>
      </w:pPr>
      <w:r w:rsidRPr="0075774A">
        <w:rPr>
          <w:rFonts w:ascii="Helvetica" w:eastAsia="Times New Roman" w:hAnsi="Helvetica" w:cs="Times New Roman"/>
          <w:color w:val="292C32"/>
          <w:highlight w:val="darkGray"/>
        </w:rPr>
        <w:t>It found that supervisory practices have evolved in relation to compliance with EMIR requirements shifting from an initial focus on raising awareness to greater efforts towards making better use of the information available for supervisory purposes.  </w:t>
      </w:r>
    </w:p>
    <w:p w14:paraId="09DA6D1A" w14:textId="77777777" w:rsidR="00F61BE9" w:rsidRPr="00F61BE9" w:rsidRDefault="00F61BE9" w:rsidP="00F61BE9">
      <w:pPr>
        <w:shd w:val="clear" w:color="auto" w:fill="FFFFFF"/>
        <w:spacing w:before="180"/>
        <w:rPr>
          <w:rFonts w:ascii="Helvetica" w:eastAsia="Times New Roman" w:hAnsi="Helvetica" w:cs="Times New Roman"/>
          <w:color w:val="292C32"/>
        </w:rPr>
      </w:pPr>
      <w:r w:rsidRPr="0075774A">
        <w:rPr>
          <w:rFonts w:ascii="Helvetica" w:eastAsia="Times New Roman" w:hAnsi="Helvetica" w:cs="Times New Roman"/>
          <w:b/>
          <w:bCs/>
          <w:color w:val="292C32"/>
          <w:highlight w:val="darkGray"/>
        </w:rPr>
        <w:t>Challenges</w:t>
      </w:r>
    </w:p>
    <w:p w14:paraId="1B982EA0" w14:textId="77777777" w:rsidR="00F61BE9" w:rsidRPr="00F61BE9" w:rsidRDefault="00F61BE9" w:rsidP="00F61BE9">
      <w:pPr>
        <w:shd w:val="clear" w:color="auto" w:fill="FFFFFF"/>
        <w:spacing w:before="180"/>
        <w:rPr>
          <w:rFonts w:ascii="Helvetica" w:eastAsia="Times New Roman" w:hAnsi="Helvetica" w:cs="Times New Roman"/>
          <w:color w:val="292C32"/>
        </w:rPr>
      </w:pPr>
      <w:r w:rsidRPr="0075774A">
        <w:rPr>
          <w:rFonts w:ascii="Helvetica" w:eastAsia="Times New Roman" w:hAnsi="Helvetica" w:cs="Times New Roman"/>
          <w:color w:val="292C32"/>
          <w:highlight w:val="darkGray"/>
        </w:rPr>
        <w:t>However, the report also identifies areas of supervisory challenge which might benefit from coordinated approaches, notably related to the supervision of NFCs in relation to the clearing obligation and on how to identify excessive reliance on the exception applied to hedging positions. There is also room for closer analysis and cooperation between NCAs in areas such as supervision of counterparties below the clearing threshold and of third country entities trading in OTC derivatives with significant impact in the European Union.</w:t>
      </w:r>
    </w:p>
    <w:p w14:paraId="38418219" w14:textId="77777777" w:rsidR="00F61BE9" w:rsidRPr="0051427A" w:rsidRDefault="00F61BE9" w:rsidP="00F61BE9">
      <w:pPr>
        <w:shd w:val="clear" w:color="auto" w:fill="FFFFFF"/>
        <w:spacing w:before="180"/>
        <w:rPr>
          <w:rFonts w:ascii="Helvetica" w:eastAsia="Times New Roman" w:hAnsi="Helvetica" w:cs="Times New Roman"/>
          <w:color w:val="292C32"/>
          <w:highlight w:val="lightGray"/>
        </w:rPr>
      </w:pPr>
      <w:r w:rsidRPr="0051427A">
        <w:rPr>
          <w:rFonts w:ascii="Helvetica" w:eastAsia="Times New Roman" w:hAnsi="Helvetica" w:cs="Times New Roman"/>
          <w:b/>
          <w:bCs/>
          <w:color w:val="292C32"/>
          <w:highlight w:val="lightGray"/>
        </w:rPr>
        <w:t>Enforcement</w:t>
      </w:r>
    </w:p>
    <w:p w14:paraId="4428C7FB" w14:textId="77777777" w:rsidR="00F61BE9" w:rsidRPr="0051427A" w:rsidRDefault="00F61BE9" w:rsidP="00F61BE9">
      <w:pPr>
        <w:shd w:val="clear" w:color="auto" w:fill="FFFFFF"/>
        <w:spacing w:before="180"/>
        <w:rPr>
          <w:rFonts w:ascii="Helvetica" w:eastAsia="Times New Roman" w:hAnsi="Helvetica" w:cs="Times New Roman"/>
          <w:color w:val="292C32"/>
          <w:highlight w:val="lightGray"/>
        </w:rPr>
      </w:pPr>
      <w:r w:rsidRPr="0051427A">
        <w:rPr>
          <w:rFonts w:ascii="Helvetica" w:eastAsia="Times New Roman" w:hAnsi="Helvetica" w:cs="Times New Roman"/>
          <w:color w:val="292C32"/>
          <w:highlight w:val="lightGray"/>
        </w:rPr>
        <w:t>During 2018 the number of NCAs conducting investigations into the following issues were:</w:t>
      </w:r>
    </w:p>
    <w:p w14:paraId="6B8CCC49" w14:textId="77777777" w:rsidR="00F61BE9" w:rsidRPr="0051427A" w:rsidRDefault="00F61BE9" w:rsidP="00F61BE9">
      <w:pPr>
        <w:shd w:val="clear" w:color="auto" w:fill="FFFFFF"/>
        <w:spacing w:before="180"/>
        <w:rPr>
          <w:rFonts w:ascii="Helvetica" w:eastAsia="Times New Roman" w:hAnsi="Helvetica" w:cs="Times New Roman"/>
          <w:color w:val="292C32"/>
          <w:highlight w:val="lightGray"/>
        </w:rPr>
      </w:pPr>
      <w:r w:rsidRPr="0051427A">
        <w:rPr>
          <w:rFonts w:ascii="Helvetica" w:eastAsia="Times New Roman" w:hAnsi="Helvetica" w:cs="Times New Roman"/>
          <w:color w:val="292C32"/>
          <w:highlight w:val="lightGray"/>
        </w:rPr>
        <w:lastRenderedPageBreak/>
        <w:t>·         18 regarding reporting requirements;</w:t>
      </w:r>
    </w:p>
    <w:p w14:paraId="13860023" w14:textId="77777777" w:rsidR="00F61BE9" w:rsidRPr="0051427A" w:rsidRDefault="00F61BE9" w:rsidP="00F61BE9">
      <w:pPr>
        <w:shd w:val="clear" w:color="auto" w:fill="FFFFFF"/>
        <w:spacing w:before="180"/>
        <w:rPr>
          <w:rFonts w:ascii="Helvetica" w:eastAsia="Times New Roman" w:hAnsi="Helvetica" w:cs="Times New Roman"/>
          <w:color w:val="292C32"/>
          <w:highlight w:val="lightGray"/>
        </w:rPr>
      </w:pPr>
      <w:r w:rsidRPr="0051427A">
        <w:rPr>
          <w:rFonts w:ascii="Helvetica" w:eastAsia="Times New Roman" w:hAnsi="Helvetica" w:cs="Times New Roman"/>
          <w:color w:val="292C32"/>
          <w:highlight w:val="lightGray"/>
        </w:rPr>
        <w:t>·         8 into risk-mitigation techniques;</w:t>
      </w:r>
    </w:p>
    <w:p w14:paraId="16BFFCAF" w14:textId="77777777" w:rsidR="00F61BE9" w:rsidRPr="0051427A" w:rsidRDefault="00F61BE9" w:rsidP="00F61BE9">
      <w:pPr>
        <w:shd w:val="clear" w:color="auto" w:fill="FFFFFF"/>
        <w:spacing w:before="180"/>
        <w:rPr>
          <w:rFonts w:ascii="Helvetica" w:eastAsia="Times New Roman" w:hAnsi="Helvetica" w:cs="Times New Roman"/>
          <w:color w:val="292C32"/>
          <w:highlight w:val="lightGray"/>
        </w:rPr>
      </w:pPr>
      <w:r w:rsidRPr="0051427A">
        <w:rPr>
          <w:rFonts w:ascii="Helvetica" w:eastAsia="Times New Roman" w:hAnsi="Helvetica" w:cs="Times New Roman"/>
          <w:color w:val="292C32"/>
          <w:highlight w:val="lightGray"/>
        </w:rPr>
        <w:t>·         6 into the clearing obligation; and</w:t>
      </w:r>
    </w:p>
    <w:p w14:paraId="5E4D815E" w14:textId="77777777" w:rsidR="00F61BE9" w:rsidRPr="0051427A" w:rsidRDefault="00F61BE9" w:rsidP="00F61BE9">
      <w:pPr>
        <w:shd w:val="clear" w:color="auto" w:fill="FFFFFF"/>
        <w:spacing w:before="180"/>
        <w:rPr>
          <w:rFonts w:ascii="Helvetica" w:eastAsia="Times New Roman" w:hAnsi="Helvetica" w:cs="Times New Roman"/>
          <w:color w:val="292C32"/>
          <w:highlight w:val="lightGray"/>
        </w:rPr>
      </w:pPr>
      <w:r w:rsidRPr="0051427A">
        <w:rPr>
          <w:rFonts w:ascii="Helvetica" w:eastAsia="Times New Roman" w:hAnsi="Helvetica" w:cs="Times New Roman"/>
          <w:color w:val="292C32"/>
          <w:highlight w:val="lightGray"/>
        </w:rPr>
        <w:t>·         4 into non-financial counterparties.</w:t>
      </w:r>
    </w:p>
    <w:p w14:paraId="5E68CB0A" w14:textId="77777777" w:rsidR="00F61BE9" w:rsidRPr="0051427A" w:rsidRDefault="00F61BE9" w:rsidP="00F61BE9">
      <w:pPr>
        <w:shd w:val="clear" w:color="auto" w:fill="FFFFFF"/>
        <w:spacing w:before="180"/>
        <w:rPr>
          <w:rFonts w:ascii="Helvetica" w:eastAsia="Times New Roman" w:hAnsi="Helvetica" w:cs="Times New Roman"/>
          <w:color w:val="292C32"/>
          <w:highlight w:val="lightGray"/>
        </w:rPr>
      </w:pPr>
      <w:r w:rsidRPr="0051427A">
        <w:rPr>
          <w:rFonts w:ascii="Helvetica" w:eastAsia="Times New Roman" w:hAnsi="Helvetica" w:cs="Times New Roman"/>
          <w:color w:val="292C32"/>
          <w:highlight w:val="lightGray"/>
        </w:rPr>
        <w:t>Also, around 10% of NCAs issued recommendations or sent warning letters to market participants. While, no new sanctions or penalties were imposed on supervised entities during the period.  </w:t>
      </w:r>
    </w:p>
    <w:p w14:paraId="75421AF1" w14:textId="77777777" w:rsidR="00F61BE9" w:rsidRPr="00F61BE9" w:rsidRDefault="00F61BE9" w:rsidP="00F61BE9">
      <w:pPr>
        <w:shd w:val="clear" w:color="auto" w:fill="FFFFFF"/>
        <w:spacing w:before="180"/>
        <w:rPr>
          <w:rFonts w:ascii="Helvetica" w:eastAsia="Times New Roman" w:hAnsi="Helvetica" w:cs="Times New Roman"/>
          <w:color w:val="292C32"/>
        </w:rPr>
      </w:pPr>
      <w:r w:rsidRPr="0051427A">
        <w:rPr>
          <w:rFonts w:ascii="Helvetica" w:eastAsia="Times New Roman" w:hAnsi="Helvetica" w:cs="Times New Roman"/>
          <w:color w:val="292C32"/>
          <w:highlight w:val="lightGray"/>
        </w:rPr>
        <w:t>ESMA expects this report to be a useful tool to understand the supervisory and enforcement efforts of NCAs. The</w:t>
      </w:r>
      <w:r w:rsidRPr="00F61BE9">
        <w:rPr>
          <w:rFonts w:ascii="Helvetica" w:eastAsia="Times New Roman" w:hAnsi="Helvetica" w:cs="Times New Roman"/>
          <w:color w:val="292C32"/>
        </w:rPr>
        <w:t xml:space="preserve"> Report has been sent to the European Parliament, the Council and the Commission.</w:t>
      </w:r>
    </w:p>
    <w:p w14:paraId="0410875D"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072F"/>
    <w:multiLevelType w:val="multilevel"/>
    <w:tmpl w:val="922E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26"/>
    <w:rsid w:val="00023126"/>
    <w:rsid w:val="000B1191"/>
    <w:rsid w:val="00453EED"/>
    <w:rsid w:val="0051427A"/>
    <w:rsid w:val="0075774A"/>
    <w:rsid w:val="00BE080D"/>
    <w:rsid w:val="00F6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2A7487"/>
  <w14:defaultImageDpi w14:val="32767"/>
  <w15:chartTrackingRefBased/>
  <w15:docId w15:val="{5DAF5FF8-F471-754B-9480-F2D0C48D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61BE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BE9"/>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F61BE9"/>
  </w:style>
  <w:style w:type="paragraph" w:styleId="NormalWeb">
    <w:name w:val="Normal (Web)"/>
    <w:basedOn w:val="Normal"/>
    <w:uiPriority w:val="99"/>
    <w:semiHidden/>
    <w:unhideWhenUsed/>
    <w:rsid w:val="00F61B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61BE9"/>
    <w:rPr>
      <w:color w:val="0000FF"/>
      <w:u w:val="single"/>
    </w:rPr>
  </w:style>
  <w:style w:type="character" w:styleId="Strong">
    <w:name w:val="Strong"/>
    <w:basedOn w:val="DefaultParagraphFont"/>
    <w:uiPriority w:val="22"/>
    <w:qFormat/>
    <w:rsid w:val="00F61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696443">
      <w:bodyDiv w:val="1"/>
      <w:marLeft w:val="0"/>
      <w:marRight w:val="0"/>
      <w:marTop w:val="0"/>
      <w:marBottom w:val="0"/>
      <w:divBdr>
        <w:top w:val="none" w:sz="0" w:space="0" w:color="auto"/>
        <w:left w:val="none" w:sz="0" w:space="0" w:color="auto"/>
        <w:bottom w:val="none" w:sz="0" w:space="0" w:color="auto"/>
        <w:right w:val="none" w:sz="0" w:space="0" w:color="auto"/>
      </w:divBdr>
      <w:divsChild>
        <w:div w:id="87971437">
          <w:marLeft w:val="0"/>
          <w:marRight w:val="0"/>
          <w:marTop w:val="0"/>
          <w:marBottom w:val="0"/>
          <w:divBdr>
            <w:top w:val="none" w:sz="0" w:space="0" w:color="auto"/>
            <w:left w:val="none" w:sz="0" w:space="0" w:color="auto"/>
            <w:bottom w:val="none" w:sz="0" w:space="0" w:color="auto"/>
            <w:right w:val="none" w:sz="0" w:space="0" w:color="auto"/>
          </w:divBdr>
          <w:divsChild>
            <w:div w:id="271059110">
              <w:marLeft w:val="0"/>
              <w:marRight w:val="0"/>
              <w:marTop w:val="0"/>
              <w:marBottom w:val="120"/>
              <w:divBdr>
                <w:top w:val="none" w:sz="0" w:space="0" w:color="auto"/>
                <w:left w:val="none" w:sz="0" w:space="0" w:color="auto"/>
                <w:bottom w:val="none" w:sz="0" w:space="0" w:color="auto"/>
                <w:right w:val="none" w:sz="0" w:space="0" w:color="auto"/>
              </w:divBdr>
            </w:div>
            <w:div w:id="1657227141">
              <w:marLeft w:val="0"/>
              <w:marRight w:val="0"/>
              <w:marTop w:val="0"/>
              <w:marBottom w:val="0"/>
              <w:divBdr>
                <w:top w:val="none" w:sz="0" w:space="0" w:color="auto"/>
                <w:left w:val="none" w:sz="0" w:space="0" w:color="auto"/>
                <w:bottom w:val="none" w:sz="0" w:space="0" w:color="auto"/>
                <w:right w:val="none" w:sz="0" w:space="0" w:color="auto"/>
              </w:divBdr>
            </w:div>
            <w:div w:id="1526602053">
              <w:marLeft w:val="0"/>
              <w:marRight w:val="0"/>
              <w:marTop w:val="0"/>
              <w:marBottom w:val="0"/>
              <w:divBdr>
                <w:top w:val="none" w:sz="0" w:space="0" w:color="auto"/>
                <w:left w:val="none" w:sz="0" w:space="0" w:color="auto"/>
                <w:bottom w:val="none" w:sz="0" w:space="0" w:color="auto"/>
                <w:right w:val="none" w:sz="0" w:space="0" w:color="auto"/>
              </w:divBdr>
            </w:div>
            <w:div w:id="1866475844">
              <w:marLeft w:val="0"/>
              <w:marRight w:val="0"/>
              <w:marTop w:val="0"/>
              <w:marBottom w:val="0"/>
              <w:divBdr>
                <w:top w:val="none" w:sz="0" w:space="0" w:color="auto"/>
                <w:left w:val="none" w:sz="0" w:space="0" w:color="auto"/>
                <w:bottom w:val="none" w:sz="0" w:space="0" w:color="auto"/>
                <w:right w:val="none" w:sz="0" w:space="0" w:color="auto"/>
              </w:divBdr>
            </w:div>
            <w:div w:id="384333502">
              <w:marLeft w:val="0"/>
              <w:marRight w:val="0"/>
              <w:marTop w:val="0"/>
              <w:marBottom w:val="600"/>
              <w:divBdr>
                <w:top w:val="none" w:sz="0" w:space="0" w:color="auto"/>
                <w:left w:val="none" w:sz="0" w:space="0" w:color="auto"/>
                <w:bottom w:val="none" w:sz="0" w:space="0" w:color="auto"/>
                <w:right w:val="none" w:sz="0" w:space="0" w:color="auto"/>
              </w:divBdr>
            </w:div>
            <w:div w:id="8264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sma.europa.eu/document/supervisory-measures-and-penalties-under-articles-4-9-10-and-11-emir-%E2%80%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2020-02-21T10:14:00Z</dcterms:created>
  <dcterms:modified xsi:type="dcterms:W3CDTF">2020-05-11T11:56:00Z</dcterms:modified>
</cp:coreProperties>
</file>