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2B8CA" w14:textId="77777777" w:rsidR="00A42CFA" w:rsidRPr="00A42CFA" w:rsidRDefault="00A42CFA" w:rsidP="00A42CFA">
      <w:pPr>
        <w:shd w:val="clear" w:color="auto" w:fill="FFFFFF"/>
        <w:spacing w:after="100" w:afterAutospacing="1"/>
        <w:outlineLvl w:val="1"/>
        <w:rPr>
          <w:rFonts w:ascii="Helvetica" w:eastAsia="Times New Roman" w:hAnsi="Helvetica" w:cs="Times New Roman"/>
          <w:caps/>
          <w:color w:val="3B3D91"/>
          <w:sz w:val="36"/>
          <w:szCs w:val="36"/>
        </w:rPr>
      </w:pPr>
      <w:r w:rsidRPr="00A42CFA">
        <w:rPr>
          <w:rFonts w:ascii="Helvetica" w:eastAsia="Times New Roman" w:hAnsi="Helvetica" w:cs="Times New Roman"/>
          <w:caps/>
          <w:color w:val="3B3D91"/>
          <w:sz w:val="36"/>
          <w:szCs w:val="36"/>
        </w:rPr>
        <w:t>ESMA PROVIDES UPDATED XML SCHEMA AND REPORTING INSTRUCTIONS FOR SECURITISATION REPORTING</w:t>
      </w:r>
    </w:p>
    <w:p w14:paraId="04D7E458" w14:textId="77777777" w:rsidR="00A42CFA" w:rsidRPr="00A42CFA" w:rsidRDefault="00A42CFA" w:rsidP="00A42CFA">
      <w:pPr>
        <w:shd w:val="clear" w:color="auto" w:fill="FFFFFF"/>
        <w:jc w:val="right"/>
        <w:rPr>
          <w:rFonts w:ascii="Helvetica" w:eastAsia="Times New Roman" w:hAnsi="Helvetica" w:cs="Times New Roman"/>
          <w:color w:val="292C32"/>
          <w:sz w:val="20"/>
          <w:szCs w:val="20"/>
        </w:rPr>
      </w:pPr>
      <w:r w:rsidRPr="00A42CFA">
        <w:rPr>
          <w:rFonts w:ascii="Helvetica" w:eastAsia="Times New Roman" w:hAnsi="Helvetica" w:cs="Times New Roman"/>
          <w:color w:val="292C32"/>
          <w:sz w:val="20"/>
          <w:szCs w:val="20"/>
        </w:rPr>
        <w:t>20 December 2019 </w:t>
      </w:r>
    </w:p>
    <w:p w14:paraId="695FB7F7" w14:textId="77777777" w:rsidR="00A42CFA" w:rsidRPr="00A42CFA" w:rsidRDefault="00A42CFA" w:rsidP="00A42CFA">
      <w:pPr>
        <w:shd w:val="clear" w:color="auto" w:fill="EEEEF0"/>
        <w:rPr>
          <w:rFonts w:ascii="Helvetica" w:eastAsia="Times New Roman" w:hAnsi="Helvetica" w:cs="Times New Roman"/>
          <w:caps/>
          <w:color w:val="3B3D91"/>
        </w:rPr>
      </w:pPr>
      <w:r w:rsidRPr="00A42CFA">
        <w:rPr>
          <w:rFonts w:ascii="Helvetica" w:eastAsia="Times New Roman" w:hAnsi="Helvetica" w:cs="Times New Roman"/>
          <w:caps/>
          <w:color w:val="3B3D91"/>
        </w:rPr>
        <w:t>PRESS RELEASES</w:t>
      </w:r>
    </w:p>
    <w:p w14:paraId="1821812F" w14:textId="77777777" w:rsidR="00A42CFA" w:rsidRPr="00A42CFA" w:rsidRDefault="00A42CFA" w:rsidP="00A42CFA">
      <w:pPr>
        <w:shd w:val="clear" w:color="auto" w:fill="EEEEF0"/>
        <w:rPr>
          <w:rFonts w:ascii="Helvetica" w:eastAsia="Times New Roman" w:hAnsi="Helvetica" w:cs="Times New Roman"/>
          <w:caps/>
          <w:color w:val="3B3D91"/>
        </w:rPr>
      </w:pPr>
      <w:r w:rsidRPr="00A42CFA">
        <w:rPr>
          <w:rFonts w:ascii="Helvetica" w:eastAsia="Times New Roman" w:hAnsi="Helvetica" w:cs="Times New Roman"/>
          <w:caps/>
          <w:color w:val="3B3D91"/>
        </w:rPr>
        <w:t>SECURITISATION</w:t>
      </w:r>
    </w:p>
    <w:p w14:paraId="5865A49D" w14:textId="77777777" w:rsidR="00A42CFA" w:rsidRPr="00A42CFA" w:rsidRDefault="00A42CFA" w:rsidP="00A42CFA">
      <w:pPr>
        <w:shd w:val="clear" w:color="auto" w:fill="EEEEF0"/>
        <w:rPr>
          <w:rFonts w:ascii="Helvetica" w:eastAsia="Times New Roman" w:hAnsi="Helvetica" w:cs="Times New Roman"/>
          <w:caps/>
          <w:color w:val="3B3D91"/>
        </w:rPr>
      </w:pPr>
      <w:r w:rsidRPr="00A42CFA">
        <w:rPr>
          <w:rFonts w:ascii="Helvetica" w:eastAsia="Times New Roman" w:hAnsi="Helvetica" w:cs="Times New Roman"/>
          <w:caps/>
          <w:color w:val="3B3D91"/>
        </w:rPr>
        <w:t>SUPERVISORY CONVERGENCE</w:t>
      </w:r>
    </w:p>
    <w:p w14:paraId="4E69123F" w14:textId="77777777" w:rsidR="00A42CFA" w:rsidRPr="00A42CFA" w:rsidRDefault="00A42CFA" w:rsidP="00A42CFA">
      <w:pPr>
        <w:shd w:val="clear" w:color="auto" w:fill="FFFFFF"/>
        <w:rPr>
          <w:rFonts w:ascii="Helvetica" w:eastAsia="Times New Roman" w:hAnsi="Helvetica" w:cs="Times New Roman"/>
          <w:color w:val="292C32"/>
        </w:rPr>
      </w:pPr>
      <w:r w:rsidRPr="00A42CFA">
        <w:rPr>
          <w:rFonts w:ascii="Helvetica" w:eastAsia="Times New Roman" w:hAnsi="Helvetica" w:cs="Times New Roman"/>
          <w:color w:val="292C32"/>
        </w:rPr>
        <w:t>The European Securities and Markets Authority (ESMA), the EU’s securities markets’ regulator, has today published </w:t>
      </w:r>
      <w:hyperlink r:id="rId4" w:anchor="title-paragrah-3" w:history="1">
        <w:r w:rsidRPr="00A42CFA">
          <w:rPr>
            <w:rFonts w:ascii="Helvetica" w:eastAsia="Times New Roman" w:hAnsi="Helvetica" w:cs="Times New Roman"/>
            <w:color w:val="3B3D91"/>
            <w:u w:val="single"/>
          </w:rPr>
          <w:t>updated reporting instructions and XML schema</w:t>
        </w:r>
      </w:hyperlink>
      <w:r w:rsidRPr="00A42CFA">
        <w:rPr>
          <w:rFonts w:ascii="Helvetica" w:eastAsia="Times New Roman" w:hAnsi="Helvetica" w:cs="Times New Roman"/>
          <w:color w:val="292C32"/>
        </w:rPr>
        <w:t> for the templates set out in the </w:t>
      </w:r>
      <w:hyperlink r:id="rId5" w:anchor="title-paragrah-3" w:history="1">
        <w:r w:rsidRPr="00A42CFA">
          <w:rPr>
            <w:rFonts w:ascii="Helvetica" w:eastAsia="Times New Roman" w:hAnsi="Helvetica" w:cs="Times New Roman"/>
            <w:color w:val="3B3D91"/>
            <w:u w:val="single"/>
          </w:rPr>
          <w:t>technical standards on disclosure requirements</w:t>
        </w:r>
      </w:hyperlink>
      <w:r w:rsidRPr="00A42CFA">
        <w:rPr>
          <w:rFonts w:ascii="Helvetica" w:eastAsia="Times New Roman" w:hAnsi="Helvetica" w:cs="Times New Roman"/>
          <w:color w:val="292C32"/>
        </w:rPr>
        <w:t>. </w:t>
      </w:r>
    </w:p>
    <w:p w14:paraId="2FEDD45A" w14:textId="77777777" w:rsidR="00A42CFA" w:rsidRPr="00A42CFA" w:rsidRDefault="00A42CFA" w:rsidP="00A42CFA">
      <w:pPr>
        <w:shd w:val="clear" w:color="auto" w:fill="FFFFFF"/>
        <w:rPr>
          <w:rFonts w:ascii="Helvetica" w:eastAsia="Times New Roman" w:hAnsi="Helvetica" w:cs="Times New Roman"/>
          <w:color w:val="292C32"/>
        </w:rPr>
      </w:pPr>
      <w:r w:rsidRPr="00B81CC0">
        <w:rPr>
          <w:rFonts w:ascii="Helvetica" w:eastAsia="Times New Roman" w:hAnsi="Helvetica" w:cs="Times New Roman"/>
          <w:color w:val="292C32"/>
          <w:highlight w:val="yellow"/>
        </w:rPr>
        <w:t>The XML schema and reporting instructions were initially published on 17 July 2019 in advance of the draft disclosure technical standards being adopted by the Commission in order to assist affected entities in preparing for their entry into force. The updates to the XML schema and reporting instructions reflect some adjustments made to ensure alignment with the final disclosure technical standards as published by the European Commission on 16 October as well as feedback provided by stakeholders since July.</w:t>
      </w:r>
      <w:r w:rsidRPr="00A42CFA">
        <w:rPr>
          <w:rFonts w:ascii="Helvetica" w:eastAsia="Times New Roman" w:hAnsi="Helvetica" w:cs="Times New Roman"/>
          <w:color w:val="292C32"/>
        </w:rPr>
        <w:t> </w:t>
      </w:r>
    </w:p>
    <w:p w14:paraId="51F855E3" w14:textId="77777777" w:rsidR="00A42CFA" w:rsidRPr="00A42CFA" w:rsidRDefault="00A42CFA" w:rsidP="00A42CFA">
      <w:pPr>
        <w:shd w:val="clear" w:color="auto" w:fill="FFFFFF"/>
        <w:spacing w:before="180"/>
        <w:rPr>
          <w:rFonts w:ascii="Helvetica" w:eastAsia="Times New Roman" w:hAnsi="Helvetica" w:cs="Times New Roman"/>
          <w:color w:val="292C32"/>
        </w:rPr>
      </w:pPr>
      <w:r w:rsidRPr="00A42CFA">
        <w:rPr>
          <w:rFonts w:ascii="Helvetica" w:eastAsia="Times New Roman" w:hAnsi="Helvetica" w:cs="Times New Roman"/>
          <w:color w:val="292C32"/>
        </w:rPr>
        <w:t> </w:t>
      </w:r>
    </w:p>
    <w:p w14:paraId="3F03D376" w14:textId="77777777" w:rsidR="00A42CFA" w:rsidRPr="00B81CC0" w:rsidRDefault="00A42CFA" w:rsidP="00A42CFA">
      <w:pPr>
        <w:shd w:val="clear" w:color="auto" w:fill="FFFFFF"/>
        <w:spacing w:before="180"/>
        <w:rPr>
          <w:rFonts w:ascii="Helvetica" w:eastAsia="Times New Roman" w:hAnsi="Helvetica" w:cs="Times New Roman"/>
          <w:color w:val="292C32"/>
          <w:highlight w:val="yellow"/>
        </w:rPr>
      </w:pPr>
      <w:bookmarkStart w:id="0" w:name="_GoBack"/>
      <w:bookmarkEnd w:id="0"/>
      <w:r w:rsidRPr="00B81CC0">
        <w:rPr>
          <w:rFonts w:ascii="Helvetica" w:eastAsia="Times New Roman" w:hAnsi="Helvetica" w:cs="Times New Roman"/>
          <w:color w:val="292C32"/>
          <w:highlight w:val="yellow"/>
        </w:rPr>
        <w:t>Should stakeholders identify any technical issues regarding the XML schema and reporting instructions in the future, they are in invited to notify ESMA via the email inbox securitisation@esma.europa.eu. </w:t>
      </w:r>
    </w:p>
    <w:p w14:paraId="10D42239" w14:textId="77777777" w:rsidR="00A42CFA" w:rsidRPr="00A42CFA" w:rsidRDefault="00A42CFA" w:rsidP="00A42CFA">
      <w:pPr>
        <w:shd w:val="clear" w:color="auto" w:fill="FFFFFF"/>
        <w:spacing w:before="180"/>
        <w:rPr>
          <w:rFonts w:ascii="Helvetica" w:eastAsia="Times New Roman" w:hAnsi="Helvetica" w:cs="Times New Roman"/>
          <w:color w:val="292C32"/>
        </w:rPr>
      </w:pPr>
      <w:r w:rsidRPr="00B81CC0">
        <w:rPr>
          <w:rFonts w:ascii="Helvetica" w:eastAsia="Times New Roman" w:hAnsi="Helvetica" w:cs="Times New Roman"/>
          <w:color w:val="292C32"/>
          <w:highlight w:val="yellow"/>
        </w:rPr>
        <w:t>ESMA has also updated the </w:t>
      </w:r>
      <w:proofErr w:type="spellStart"/>
      <w:r w:rsidR="00B81CC0" w:rsidRPr="00B81CC0">
        <w:rPr>
          <w:rFonts w:ascii="Helvetica" w:eastAsia="Times New Roman" w:hAnsi="Helvetica" w:cs="Times New Roman"/>
          <w:color w:val="3B3D91"/>
          <w:highlight w:val="yellow"/>
          <w:u w:val="single"/>
        </w:rPr>
        <w:fldChar w:fldCharType="begin"/>
      </w:r>
      <w:r w:rsidR="00B81CC0" w:rsidRPr="00B81CC0">
        <w:rPr>
          <w:rFonts w:ascii="Helvetica" w:eastAsia="Times New Roman" w:hAnsi="Helvetica" w:cs="Times New Roman"/>
          <w:color w:val="3B3D91"/>
          <w:highlight w:val="yellow"/>
          <w:u w:val="single"/>
        </w:rPr>
        <w:instrText xml:space="preserve"> HYPERLINK "https://www.esma.europa.eu/policy-activities/securitisation" </w:instrText>
      </w:r>
      <w:r w:rsidR="00B81CC0" w:rsidRPr="00B81CC0">
        <w:rPr>
          <w:rFonts w:ascii="Helvetica" w:eastAsia="Times New Roman" w:hAnsi="Helvetica" w:cs="Times New Roman"/>
          <w:color w:val="3B3D91"/>
          <w:highlight w:val="yellow"/>
          <w:u w:val="single"/>
        </w:rPr>
        <w:fldChar w:fldCharType="separate"/>
      </w:r>
      <w:r w:rsidRPr="00B81CC0">
        <w:rPr>
          <w:rFonts w:ascii="Helvetica" w:eastAsia="Times New Roman" w:hAnsi="Helvetica" w:cs="Times New Roman"/>
          <w:color w:val="3B3D91"/>
          <w:highlight w:val="yellow"/>
          <w:u w:val="single"/>
        </w:rPr>
        <w:t>securitisation</w:t>
      </w:r>
      <w:proofErr w:type="spellEnd"/>
      <w:r w:rsidRPr="00B81CC0">
        <w:rPr>
          <w:rFonts w:ascii="Helvetica" w:eastAsia="Times New Roman" w:hAnsi="Helvetica" w:cs="Times New Roman"/>
          <w:color w:val="3B3D91"/>
          <w:highlight w:val="yellow"/>
          <w:u w:val="single"/>
        </w:rPr>
        <w:t xml:space="preserve"> policy section of ESMA’s website</w:t>
      </w:r>
      <w:r w:rsidR="00B81CC0" w:rsidRPr="00B81CC0">
        <w:rPr>
          <w:rFonts w:ascii="Helvetica" w:eastAsia="Times New Roman" w:hAnsi="Helvetica" w:cs="Times New Roman"/>
          <w:color w:val="3B3D91"/>
          <w:highlight w:val="yellow"/>
          <w:u w:val="single"/>
        </w:rPr>
        <w:fldChar w:fldCharType="end"/>
      </w:r>
      <w:r w:rsidRPr="00B81CC0">
        <w:rPr>
          <w:rFonts w:ascii="Helvetica" w:eastAsia="Times New Roman" w:hAnsi="Helvetica" w:cs="Times New Roman"/>
          <w:color w:val="292C32"/>
          <w:highlight w:val="yellow"/>
        </w:rPr>
        <w:t> with information about the technical standards which have recently been published on the website of the European Commission.</w:t>
      </w:r>
    </w:p>
    <w:p w14:paraId="277365D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4E"/>
    <w:rsid w:val="0031654E"/>
    <w:rsid w:val="00453EED"/>
    <w:rsid w:val="00A42CFA"/>
    <w:rsid w:val="00B81CC0"/>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723A47"/>
  <w14:defaultImageDpi w14:val="32767"/>
  <w15:chartTrackingRefBased/>
  <w15:docId w15:val="{9F2FFAA3-70FE-E44A-B2E0-31AE0BC1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42CF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2CF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42CFA"/>
  </w:style>
  <w:style w:type="paragraph" w:styleId="NormalWeb">
    <w:name w:val="Normal (Web)"/>
    <w:basedOn w:val="Normal"/>
    <w:uiPriority w:val="99"/>
    <w:semiHidden/>
    <w:unhideWhenUsed/>
    <w:rsid w:val="00A42CF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42C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41385">
      <w:bodyDiv w:val="1"/>
      <w:marLeft w:val="0"/>
      <w:marRight w:val="0"/>
      <w:marTop w:val="0"/>
      <w:marBottom w:val="0"/>
      <w:divBdr>
        <w:top w:val="none" w:sz="0" w:space="0" w:color="auto"/>
        <w:left w:val="none" w:sz="0" w:space="0" w:color="auto"/>
        <w:bottom w:val="none" w:sz="0" w:space="0" w:color="auto"/>
        <w:right w:val="none" w:sz="0" w:space="0" w:color="auto"/>
      </w:divBdr>
      <w:divsChild>
        <w:div w:id="1211578066">
          <w:marLeft w:val="0"/>
          <w:marRight w:val="0"/>
          <w:marTop w:val="0"/>
          <w:marBottom w:val="0"/>
          <w:divBdr>
            <w:top w:val="none" w:sz="0" w:space="0" w:color="auto"/>
            <w:left w:val="none" w:sz="0" w:space="0" w:color="auto"/>
            <w:bottom w:val="none" w:sz="0" w:space="0" w:color="auto"/>
            <w:right w:val="none" w:sz="0" w:space="0" w:color="auto"/>
          </w:divBdr>
          <w:divsChild>
            <w:div w:id="1976258789">
              <w:marLeft w:val="0"/>
              <w:marRight w:val="0"/>
              <w:marTop w:val="0"/>
              <w:marBottom w:val="120"/>
              <w:divBdr>
                <w:top w:val="none" w:sz="0" w:space="0" w:color="auto"/>
                <w:left w:val="none" w:sz="0" w:space="0" w:color="auto"/>
                <w:bottom w:val="none" w:sz="0" w:space="0" w:color="auto"/>
                <w:right w:val="none" w:sz="0" w:space="0" w:color="auto"/>
              </w:divBdr>
            </w:div>
            <w:div w:id="36248910">
              <w:marLeft w:val="0"/>
              <w:marRight w:val="0"/>
              <w:marTop w:val="0"/>
              <w:marBottom w:val="0"/>
              <w:divBdr>
                <w:top w:val="none" w:sz="0" w:space="0" w:color="auto"/>
                <w:left w:val="none" w:sz="0" w:space="0" w:color="auto"/>
                <w:bottom w:val="none" w:sz="0" w:space="0" w:color="auto"/>
                <w:right w:val="none" w:sz="0" w:space="0" w:color="auto"/>
              </w:divBdr>
            </w:div>
            <w:div w:id="1505244240">
              <w:marLeft w:val="0"/>
              <w:marRight w:val="0"/>
              <w:marTop w:val="0"/>
              <w:marBottom w:val="0"/>
              <w:divBdr>
                <w:top w:val="none" w:sz="0" w:space="0" w:color="auto"/>
                <w:left w:val="none" w:sz="0" w:space="0" w:color="auto"/>
                <w:bottom w:val="none" w:sz="0" w:space="0" w:color="auto"/>
                <w:right w:val="none" w:sz="0" w:space="0" w:color="auto"/>
              </w:divBdr>
            </w:div>
            <w:div w:id="92942859">
              <w:marLeft w:val="0"/>
              <w:marRight w:val="0"/>
              <w:marTop w:val="0"/>
              <w:marBottom w:val="0"/>
              <w:divBdr>
                <w:top w:val="none" w:sz="0" w:space="0" w:color="auto"/>
                <w:left w:val="none" w:sz="0" w:space="0" w:color="auto"/>
                <w:bottom w:val="none" w:sz="0" w:space="0" w:color="auto"/>
                <w:right w:val="none" w:sz="0" w:space="0" w:color="auto"/>
              </w:divBdr>
            </w:div>
            <w:div w:id="2013217388">
              <w:marLeft w:val="0"/>
              <w:marRight w:val="0"/>
              <w:marTop w:val="0"/>
              <w:marBottom w:val="600"/>
              <w:divBdr>
                <w:top w:val="none" w:sz="0" w:space="0" w:color="auto"/>
                <w:left w:val="none" w:sz="0" w:space="0" w:color="auto"/>
                <w:bottom w:val="none" w:sz="0" w:space="0" w:color="auto"/>
                <w:right w:val="none" w:sz="0" w:space="0" w:color="auto"/>
              </w:divBdr>
            </w:div>
            <w:div w:id="10785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0876">
      <w:bodyDiv w:val="1"/>
      <w:marLeft w:val="0"/>
      <w:marRight w:val="0"/>
      <w:marTop w:val="0"/>
      <w:marBottom w:val="0"/>
      <w:divBdr>
        <w:top w:val="none" w:sz="0" w:space="0" w:color="auto"/>
        <w:left w:val="none" w:sz="0" w:space="0" w:color="auto"/>
        <w:bottom w:val="none" w:sz="0" w:space="0" w:color="auto"/>
        <w:right w:val="none" w:sz="0" w:space="0" w:color="auto"/>
      </w:divBdr>
      <w:divsChild>
        <w:div w:id="557210813">
          <w:marLeft w:val="0"/>
          <w:marRight w:val="0"/>
          <w:marTop w:val="0"/>
          <w:marBottom w:val="0"/>
          <w:divBdr>
            <w:top w:val="none" w:sz="0" w:space="0" w:color="auto"/>
            <w:left w:val="none" w:sz="0" w:space="0" w:color="auto"/>
            <w:bottom w:val="none" w:sz="0" w:space="0" w:color="auto"/>
            <w:right w:val="none" w:sz="0" w:space="0" w:color="auto"/>
          </w:divBdr>
          <w:divsChild>
            <w:div w:id="2042395641">
              <w:marLeft w:val="0"/>
              <w:marRight w:val="0"/>
              <w:marTop w:val="0"/>
              <w:marBottom w:val="120"/>
              <w:divBdr>
                <w:top w:val="none" w:sz="0" w:space="0" w:color="auto"/>
                <w:left w:val="none" w:sz="0" w:space="0" w:color="auto"/>
                <w:bottom w:val="none" w:sz="0" w:space="0" w:color="auto"/>
                <w:right w:val="none" w:sz="0" w:space="0" w:color="auto"/>
              </w:divBdr>
            </w:div>
            <w:div w:id="743718366">
              <w:marLeft w:val="0"/>
              <w:marRight w:val="0"/>
              <w:marTop w:val="0"/>
              <w:marBottom w:val="0"/>
              <w:divBdr>
                <w:top w:val="none" w:sz="0" w:space="0" w:color="auto"/>
                <w:left w:val="none" w:sz="0" w:space="0" w:color="auto"/>
                <w:bottom w:val="none" w:sz="0" w:space="0" w:color="auto"/>
                <w:right w:val="none" w:sz="0" w:space="0" w:color="auto"/>
              </w:divBdr>
            </w:div>
            <w:div w:id="396394008">
              <w:marLeft w:val="0"/>
              <w:marRight w:val="0"/>
              <w:marTop w:val="0"/>
              <w:marBottom w:val="0"/>
              <w:divBdr>
                <w:top w:val="none" w:sz="0" w:space="0" w:color="auto"/>
                <w:left w:val="none" w:sz="0" w:space="0" w:color="auto"/>
                <w:bottom w:val="none" w:sz="0" w:space="0" w:color="auto"/>
                <w:right w:val="none" w:sz="0" w:space="0" w:color="auto"/>
              </w:divBdr>
            </w:div>
            <w:div w:id="271014799">
              <w:marLeft w:val="0"/>
              <w:marRight w:val="0"/>
              <w:marTop w:val="0"/>
              <w:marBottom w:val="0"/>
              <w:divBdr>
                <w:top w:val="none" w:sz="0" w:space="0" w:color="auto"/>
                <w:left w:val="none" w:sz="0" w:space="0" w:color="auto"/>
                <w:bottom w:val="none" w:sz="0" w:space="0" w:color="auto"/>
                <w:right w:val="none" w:sz="0" w:space="0" w:color="auto"/>
              </w:divBdr>
            </w:div>
            <w:div w:id="363792986">
              <w:marLeft w:val="0"/>
              <w:marRight w:val="0"/>
              <w:marTop w:val="0"/>
              <w:marBottom w:val="600"/>
              <w:divBdr>
                <w:top w:val="none" w:sz="0" w:space="0" w:color="auto"/>
                <w:left w:val="none" w:sz="0" w:space="0" w:color="auto"/>
                <w:bottom w:val="none" w:sz="0" w:space="0" w:color="auto"/>
                <w:right w:val="none" w:sz="0" w:space="0" w:color="auto"/>
              </w:divBdr>
            </w:div>
            <w:div w:id="5315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sma.europa.eu/policy-activities/securitisation" TargetMode="External"/><Relationship Id="rId4" Type="http://schemas.openxmlformats.org/officeDocument/2006/relationships/hyperlink" Target="https://www.esma.europa.eu/policy-activities/securitis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2020-02-21T10:21:00Z</dcterms:created>
  <dcterms:modified xsi:type="dcterms:W3CDTF">2020-05-11T14:00:00Z</dcterms:modified>
</cp:coreProperties>
</file>