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77285" w14:textId="77777777" w:rsidR="00BE6B4F" w:rsidRPr="00BE6B4F" w:rsidRDefault="00BE6B4F" w:rsidP="00BE6B4F">
      <w:pPr>
        <w:shd w:val="clear" w:color="auto" w:fill="FFFFFF"/>
        <w:spacing w:after="100" w:afterAutospacing="1"/>
        <w:outlineLvl w:val="1"/>
        <w:rPr>
          <w:rFonts w:ascii="Helvetica" w:eastAsia="Times New Roman" w:hAnsi="Helvetica" w:cs="Times New Roman"/>
          <w:caps/>
          <w:color w:val="3B3D91"/>
          <w:sz w:val="36"/>
          <w:szCs w:val="36"/>
        </w:rPr>
      </w:pPr>
      <w:r w:rsidRPr="00BE6B4F">
        <w:rPr>
          <w:rFonts w:ascii="Helvetica" w:eastAsia="Times New Roman" w:hAnsi="Helvetica" w:cs="Times New Roman"/>
          <w:caps/>
          <w:color w:val="3B3D91"/>
          <w:sz w:val="36"/>
          <w:szCs w:val="36"/>
        </w:rPr>
        <w:t>ESMA SEES SIGNIFICANT ROOM FOR IMPROVEMENT IN NATIONAL REGULATORS’ SUPERVISION OF DERIVATIVES DATA </w:t>
      </w:r>
    </w:p>
    <w:p w14:paraId="3F5110F6" w14:textId="77777777" w:rsidR="00BE6B4F" w:rsidRPr="00BE6B4F" w:rsidRDefault="00BE6B4F" w:rsidP="00BE6B4F">
      <w:pPr>
        <w:shd w:val="clear" w:color="auto" w:fill="FFFFFF"/>
        <w:jc w:val="right"/>
        <w:rPr>
          <w:rFonts w:ascii="Helvetica" w:eastAsia="Times New Roman" w:hAnsi="Helvetica" w:cs="Times New Roman"/>
          <w:color w:val="292C32"/>
          <w:sz w:val="20"/>
          <w:szCs w:val="20"/>
        </w:rPr>
      </w:pPr>
      <w:r w:rsidRPr="00BE6B4F">
        <w:rPr>
          <w:rFonts w:ascii="Helvetica" w:eastAsia="Times New Roman" w:hAnsi="Helvetica" w:cs="Times New Roman"/>
          <w:color w:val="292C32"/>
          <w:sz w:val="20"/>
          <w:szCs w:val="20"/>
        </w:rPr>
        <w:t>17 October 2019 </w:t>
      </w:r>
    </w:p>
    <w:p w14:paraId="2404937F" w14:textId="77777777" w:rsidR="00BE6B4F" w:rsidRPr="00BE6B4F" w:rsidRDefault="00BE6B4F" w:rsidP="00BE6B4F">
      <w:pPr>
        <w:shd w:val="clear" w:color="auto" w:fill="EEEEF0"/>
        <w:rPr>
          <w:rFonts w:ascii="Helvetica" w:eastAsia="Times New Roman" w:hAnsi="Helvetica" w:cs="Times New Roman"/>
          <w:caps/>
          <w:color w:val="3B3D91"/>
        </w:rPr>
      </w:pPr>
      <w:r w:rsidRPr="00BE6B4F">
        <w:rPr>
          <w:rFonts w:ascii="Helvetica" w:eastAsia="Times New Roman" w:hAnsi="Helvetica" w:cs="Times New Roman"/>
          <w:caps/>
          <w:color w:val="3B3D91"/>
        </w:rPr>
        <w:t>POST TRADING</w:t>
      </w:r>
    </w:p>
    <w:p w14:paraId="5E9B38B7" w14:textId="77777777" w:rsidR="00BE6B4F" w:rsidRPr="00BE6B4F" w:rsidRDefault="00BE6B4F" w:rsidP="00BE6B4F">
      <w:pPr>
        <w:shd w:val="clear" w:color="auto" w:fill="EEEEF0"/>
        <w:rPr>
          <w:rFonts w:ascii="Helvetica" w:eastAsia="Times New Roman" w:hAnsi="Helvetica" w:cs="Times New Roman"/>
          <w:caps/>
          <w:color w:val="3B3D91"/>
        </w:rPr>
      </w:pPr>
      <w:r w:rsidRPr="00BE6B4F">
        <w:rPr>
          <w:rFonts w:ascii="Helvetica" w:eastAsia="Times New Roman" w:hAnsi="Helvetica" w:cs="Times New Roman"/>
          <w:caps/>
          <w:color w:val="3B3D91"/>
        </w:rPr>
        <w:t>SUPERVISORY CONVERGENCE</w:t>
      </w:r>
    </w:p>
    <w:p w14:paraId="03DBAC8F" w14:textId="77777777" w:rsidR="00BE6B4F" w:rsidRPr="00216CEB" w:rsidRDefault="00BE6B4F" w:rsidP="00BE6B4F">
      <w:pPr>
        <w:shd w:val="clear" w:color="auto" w:fill="FFFFFF"/>
        <w:rPr>
          <w:rFonts w:ascii="Helvetica" w:eastAsia="Times New Roman" w:hAnsi="Helvetica" w:cs="Times New Roman"/>
          <w:color w:val="292C32"/>
          <w:highlight w:val="lightGray"/>
        </w:rPr>
      </w:pPr>
      <w:r w:rsidRPr="00216CEB">
        <w:rPr>
          <w:rFonts w:ascii="Helvetica" w:eastAsia="Times New Roman" w:hAnsi="Helvetica" w:cs="Times New Roman"/>
          <w:color w:val="292C32"/>
          <w:highlight w:val="lightGray"/>
        </w:rPr>
        <w:t>The European Securities and Markets Authority (ESMA) has today published the results of a </w:t>
      </w:r>
      <w:hyperlink r:id="rId5" w:history="1">
        <w:r w:rsidRPr="00216CEB">
          <w:rPr>
            <w:rFonts w:ascii="Helvetica" w:eastAsia="Times New Roman" w:hAnsi="Helvetica" w:cs="Times New Roman"/>
            <w:color w:val="3B3D91"/>
            <w:highlight w:val="lightGray"/>
            <w:u w:val="single"/>
          </w:rPr>
          <w:t>peer review</w:t>
        </w:r>
      </w:hyperlink>
      <w:r w:rsidRPr="00216CEB">
        <w:rPr>
          <w:rFonts w:ascii="Helvetica" w:eastAsia="Times New Roman" w:hAnsi="Helvetica" w:cs="Times New Roman"/>
          <w:color w:val="292C32"/>
          <w:highlight w:val="lightGray"/>
        </w:rPr>
        <w:t> it conducted into supervisory actions of six National Competent Authorities (NCAs) regarding their approaches at enhancing the quality of derivative data reported under the European Market Infrastructure Regulation (EMIR). </w:t>
      </w:r>
    </w:p>
    <w:p w14:paraId="1D77A8E4" w14:textId="77777777" w:rsidR="00BE6B4F" w:rsidRPr="00BE6B4F" w:rsidRDefault="00BE6B4F" w:rsidP="00BE6B4F">
      <w:pPr>
        <w:shd w:val="clear" w:color="auto" w:fill="FFFFFF"/>
        <w:rPr>
          <w:rFonts w:ascii="Helvetica" w:eastAsia="Times New Roman" w:hAnsi="Helvetica" w:cs="Times New Roman"/>
          <w:color w:val="292C32"/>
        </w:rPr>
      </w:pPr>
      <w:r w:rsidRPr="00216CEB">
        <w:rPr>
          <w:rFonts w:ascii="Helvetica" w:eastAsia="Times New Roman" w:hAnsi="Helvetica" w:cs="Times New Roman"/>
          <w:color w:val="292C32"/>
          <w:highlight w:val="lightGray"/>
        </w:rPr>
        <w:t>This peer review complements ESMA’s Data Quality Action Plan (DQAP) in order to further improve the quality and usability of derivatives data.</w:t>
      </w:r>
      <w:r w:rsidRPr="00BE6B4F">
        <w:rPr>
          <w:rFonts w:ascii="Helvetica" w:eastAsia="Times New Roman" w:hAnsi="Helvetica" w:cs="Times New Roman"/>
          <w:color w:val="292C32"/>
        </w:rPr>
        <w:t>       </w:t>
      </w:r>
    </w:p>
    <w:p w14:paraId="1296FC7C" w14:textId="77777777" w:rsidR="00BE6B4F" w:rsidRPr="00216CEB" w:rsidRDefault="00BE6B4F" w:rsidP="00BE6B4F">
      <w:pPr>
        <w:shd w:val="clear" w:color="auto" w:fill="FFFFFF"/>
        <w:spacing w:before="180"/>
        <w:rPr>
          <w:rFonts w:ascii="Helvetica" w:eastAsia="Times New Roman" w:hAnsi="Helvetica" w:cs="Times New Roman"/>
          <w:color w:val="292C32"/>
          <w:highlight w:val="lightGray"/>
        </w:rPr>
      </w:pPr>
      <w:r w:rsidRPr="00216CEB">
        <w:rPr>
          <w:rFonts w:ascii="Helvetica" w:eastAsia="Times New Roman" w:hAnsi="Helvetica" w:cs="Times New Roman"/>
          <w:color w:val="292C32"/>
          <w:highlight w:val="lightGray"/>
        </w:rPr>
        <w:t>The review was targeted at those six NCAs who supervise important derivative markets in the European Union (EU) and have key counterparties reporting their derivative trades to EU Trade Repositories, namely:</w:t>
      </w:r>
    </w:p>
    <w:p w14:paraId="4560E9BA" w14:textId="77777777" w:rsidR="00BE6B4F" w:rsidRPr="00216CEB" w:rsidRDefault="00BE6B4F" w:rsidP="00BE6B4F">
      <w:pPr>
        <w:numPr>
          <w:ilvl w:val="0"/>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216CEB">
        <w:rPr>
          <w:rFonts w:ascii="Helvetica" w:eastAsia="Times New Roman" w:hAnsi="Helvetica" w:cs="Times New Roman"/>
          <w:color w:val="292C32"/>
          <w:highlight w:val="lightGray"/>
        </w:rPr>
        <w:t>the Netherlands Authority for the Financial Markets (AFM);</w:t>
      </w:r>
    </w:p>
    <w:p w14:paraId="31F365C1" w14:textId="77777777" w:rsidR="00BE6B4F" w:rsidRPr="00216CEB" w:rsidRDefault="00BE6B4F" w:rsidP="00BE6B4F">
      <w:pPr>
        <w:numPr>
          <w:ilvl w:val="0"/>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216CEB">
        <w:rPr>
          <w:rFonts w:ascii="Helvetica" w:eastAsia="Times New Roman" w:hAnsi="Helvetica" w:cs="Times New Roman"/>
          <w:color w:val="292C32"/>
          <w:highlight w:val="lightGray"/>
        </w:rPr>
        <w:t>the French Authority of the Financial Market (AMF);</w:t>
      </w:r>
    </w:p>
    <w:p w14:paraId="61936724" w14:textId="77777777" w:rsidR="00BE6B4F" w:rsidRPr="00216CEB" w:rsidRDefault="00BE6B4F" w:rsidP="00BE6B4F">
      <w:pPr>
        <w:numPr>
          <w:ilvl w:val="0"/>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216CEB">
        <w:rPr>
          <w:rFonts w:ascii="Helvetica" w:eastAsia="Times New Roman" w:hAnsi="Helvetica" w:cs="Times New Roman"/>
          <w:color w:val="292C32"/>
          <w:highlight w:val="lightGray"/>
        </w:rPr>
        <w:t>the German Federal Financial Supervisory Authority (</w:t>
      </w:r>
      <w:proofErr w:type="spellStart"/>
      <w:r w:rsidRPr="00216CEB">
        <w:rPr>
          <w:rFonts w:ascii="Helvetica" w:eastAsia="Times New Roman" w:hAnsi="Helvetica" w:cs="Times New Roman"/>
          <w:color w:val="292C32"/>
          <w:highlight w:val="lightGray"/>
        </w:rPr>
        <w:t>BaFin</w:t>
      </w:r>
      <w:proofErr w:type="spellEnd"/>
      <w:r w:rsidRPr="00216CEB">
        <w:rPr>
          <w:rFonts w:ascii="Helvetica" w:eastAsia="Times New Roman" w:hAnsi="Helvetica" w:cs="Times New Roman"/>
          <w:color w:val="292C32"/>
          <w:highlight w:val="lightGray"/>
        </w:rPr>
        <w:t>);</w:t>
      </w:r>
    </w:p>
    <w:p w14:paraId="6EE8BB99" w14:textId="77777777" w:rsidR="00BE6B4F" w:rsidRPr="00216CEB" w:rsidRDefault="00BE6B4F" w:rsidP="00BE6B4F">
      <w:pPr>
        <w:numPr>
          <w:ilvl w:val="0"/>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216CEB">
        <w:rPr>
          <w:rFonts w:ascii="Helvetica" w:eastAsia="Times New Roman" w:hAnsi="Helvetica" w:cs="Times New Roman"/>
          <w:color w:val="292C32"/>
          <w:highlight w:val="lightGray"/>
        </w:rPr>
        <w:t>the Central Bank of Ireland (</w:t>
      </w:r>
      <w:proofErr w:type="spellStart"/>
      <w:r w:rsidRPr="00216CEB">
        <w:rPr>
          <w:rFonts w:ascii="Helvetica" w:eastAsia="Times New Roman" w:hAnsi="Helvetica" w:cs="Times New Roman"/>
          <w:color w:val="292C32"/>
          <w:highlight w:val="lightGray"/>
        </w:rPr>
        <w:t>CBoI</w:t>
      </w:r>
      <w:proofErr w:type="spellEnd"/>
      <w:r w:rsidRPr="00216CEB">
        <w:rPr>
          <w:rFonts w:ascii="Helvetica" w:eastAsia="Times New Roman" w:hAnsi="Helvetica" w:cs="Times New Roman"/>
          <w:color w:val="292C32"/>
          <w:highlight w:val="lightGray"/>
        </w:rPr>
        <w:t>);</w:t>
      </w:r>
    </w:p>
    <w:p w14:paraId="7171CF85" w14:textId="77777777" w:rsidR="00BE6B4F" w:rsidRPr="00216CEB" w:rsidRDefault="00BE6B4F" w:rsidP="00BE6B4F">
      <w:pPr>
        <w:numPr>
          <w:ilvl w:val="0"/>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216CEB">
        <w:rPr>
          <w:rFonts w:ascii="Helvetica" w:eastAsia="Times New Roman" w:hAnsi="Helvetica" w:cs="Times New Roman"/>
          <w:color w:val="292C32"/>
          <w:highlight w:val="lightGray"/>
        </w:rPr>
        <w:t>the Cypriot Securities and Exchange Commission (</w:t>
      </w:r>
      <w:proofErr w:type="spellStart"/>
      <w:r w:rsidRPr="00216CEB">
        <w:rPr>
          <w:rFonts w:ascii="Helvetica" w:eastAsia="Times New Roman" w:hAnsi="Helvetica" w:cs="Times New Roman"/>
          <w:color w:val="292C32"/>
          <w:highlight w:val="lightGray"/>
        </w:rPr>
        <w:t>CySEC</w:t>
      </w:r>
      <w:proofErr w:type="spellEnd"/>
      <w:r w:rsidRPr="00216CEB">
        <w:rPr>
          <w:rFonts w:ascii="Helvetica" w:eastAsia="Times New Roman" w:hAnsi="Helvetica" w:cs="Times New Roman"/>
          <w:color w:val="292C32"/>
          <w:highlight w:val="lightGray"/>
        </w:rPr>
        <w:t>); and</w:t>
      </w:r>
    </w:p>
    <w:p w14:paraId="363313BC" w14:textId="77777777" w:rsidR="00BE6B4F" w:rsidRPr="00216CEB" w:rsidRDefault="00BE6B4F" w:rsidP="00BE6B4F">
      <w:pPr>
        <w:numPr>
          <w:ilvl w:val="0"/>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216CEB">
        <w:rPr>
          <w:rFonts w:ascii="Helvetica" w:eastAsia="Times New Roman" w:hAnsi="Helvetica" w:cs="Times New Roman"/>
          <w:color w:val="292C32"/>
          <w:highlight w:val="lightGray"/>
        </w:rPr>
        <w:t>the UK Financial Conduct Authority (FCA).</w:t>
      </w:r>
    </w:p>
    <w:p w14:paraId="6088D4DC" w14:textId="77777777" w:rsidR="00BE6B4F" w:rsidRPr="00BE6B4F" w:rsidRDefault="00BE6B4F" w:rsidP="00BE6B4F">
      <w:pPr>
        <w:shd w:val="clear" w:color="auto" w:fill="FFFFFF"/>
        <w:spacing w:before="180"/>
        <w:rPr>
          <w:rFonts w:ascii="Helvetica" w:eastAsia="Times New Roman" w:hAnsi="Helvetica" w:cs="Times New Roman"/>
          <w:color w:val="292C32"/>
        </w:rPr>
      </w:pPr>
      <w:r w:rsidRPr="00BE6B4F">
        <w:rPr>
          <w:rFonts w:ascii="Helvetica" w:eastAsia="Times New Roman" w:hAnsi="Helvetica" w:cs="Times New Roman"/>
          <w:color w:val="292C32"/>
        </w:rPr>
        <w:t>In addition, ESMA was reviewed in its role as direct supervisor of Trade Repositories (TRs).</w:t>
      </w:r>
    </w:p>
    <w:p w14:paraId="7C5AD349" w14:textId="77777777" w:rsidR="00BE6B4F" w:rsidRPr="00BE6B4F" w:rsidRDefault="00BE6B4F" w:rsidP="00BE6B4F">
      <w:pPr>
        <w:shd w:val="clear" w:color="auto" w:fill="FFFFFF"/>
        <w:spacing w:before="180"/>
        <w:rPr>
          <w:rFonts w:ascii="Helvetica" w:eastAsia="Times New Roman" w:hAnsi="Helvetica" w:cs="Times New Roman"/>
          <w:color w:val="292C32"/>
        </w:rPr>
      </w:pPr>
      <w:r w:rsidRPr="00BE6B4F">
        <w:rPr>
          <w:rFonts w:ascii="Helvetica" w:eastAsia="Times New Roman" w:hAnsi="Helvetica" w:cs="Times New Roman"/>
          <w:b/>
          <w:bCs/>
          <w:color w:val="292C32"/>
        </w:rPr>
        <w:t>Review finds differences across Member States</w:t>
      </w:r>
    </w:p>
    <w:p w14:paraId="43688FC8" w14:textId="506E64EF" w:rsidR="00BE6B4F" w:rsidRPr="00BE6B4F" w:rsidRDefault="00BE6B4F" w:rsidP="00BE6B4F">
      <w:pPr>
        <w:shd w:val="clear" w:color="auto" w:fill="FFFFFF"/>
        <w:spacing w:before="180"/>
        <w:rPr>
          <w:rFonts w:ascii="Helvetica" w:eastAsia="Times New Roman" w:hAnsi="Helvetica" w:cs="Times New Roman"/>
          <w:color w:val="292C32"/>
        </w:rPr>
      </w:pPr>
      <w:r w:rsidRPr="00BE6B4F">
        <w:rPr>
          <w:rFonts w:ascii="Helvetica" w:eastAsia="Times New Roman" w:hAnsi="Helvetica" w:cs="Times New Roman"/>
          <w:color w:val="292C32"/>
        </w:rPr>
        <w:fldChar w:fldCharType="begin"/>
      </w:r>
      <w:r w:rsidRPr="00BE6B4F">
        <w:rPr>
          <w:rFonts w:ascii="Helvetica" w:eastAsia="Times New Roman" w:hAnsi="Helvetica" w:cs="Times New Roman"/>
          <w:color w:val="292C32"/>
        </w:rPr>
        <w:instrText xml:space="preserve"> INCLUDEPICTURE "/var/folders/nj/m875g2tj2j50hjqpdb11s_540000gn/T/com.microsoft.Word/WebArchiveCopyPasteTempFiles/emirpr.gif" \* MERGEFORMATINET </w:instrText>
      </w:r>
      <w:r w:rsidRPr="00BE6B4F">
        <w:rPr>
          <w:rFonts w:ascii="Helvetica" w:eastAsia="Times New Roman" w:hAnsi="Helvetica" w:cs="Times New Roman"/>
          <w:color w:val="292C32"/>
        </w:rPr>
        <w:fldChar w:fldCharType="separate"/>
      </w:r>
      <w:r w:rsidRPr="00BE6B4F">
        <w:rPr>
          <w:rFonts w:ascii="Helvetica" w:eastAsia="Times New Roman" w:hAnsi="Helvetica" w:cs="Times New Roman"/>
          <w:noProof/>
          <w:color w:val="292C32"/>
        </w:rPr>
        <w:drawing>
          <wp:inline distT="0" distB="0" distL="0" distR="0" wp14:anchorId="04D581FA" wp14:editId="0CEBE2F4">
            <wp:extent cx="5943600" cy="2670175"/>
            <wp:effectExtent l="0" t="0" r="0" b="0"/>
            <wp:docPr id="2" name="Picture 2" descr="emir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rp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70175"/>
                    </a:xfrm>
                    <a:prstGeom prst="rect">
                      <a:avLst/>
                    </a:prstGeom>
                    <a:noFill/>
                    <a:ln>
                      <a:noFill/>
                    </a:ln>
                  </pic:spPr>
                </pic:pic>
              </a:graphicData>
            </a:graphic>
          </wp:inline>
        </w:drawing>
      </w:r>
      <w:r w:rsidRPr="00BE6B4F">
        <w:rPr>
          <w:rFonts w:ascii="Helvetica" w:eastAsia="Times New Roman" w:hAnsi="Helvetica" w:cs="Times New Roman"/>
          <w:color w:val="292C32"/>
        </w:rPr>
        <w:fldChar w:fldCharType="end"/>
      </w:r>
    </w:p>
    <w:p w14:paraId="1D60B3AA" w14:textId="36376A04" w:rsidR="00BE6B4F" w:rsidRPr="00BE6B4F" w:rsidRDefault="00BE6B4F" w:rsidP="00BE6B4F">
      <w:pPr>
        <w:shd w:val="clear" w:color="auto" w:fill="FFFFFF"/>
        <w:spacing w:before="180"/>
        <w:rPr>
          <w:rFonts w:ascii="Helvetica" w:eastAsia="Times New Roman" w:hAnsi="Helvetica" w:cs="Times New Roman"/>
          <w:color w:val="292C32"/>
        </w:rPr>
      </w:pPr>
      <w:r w:rsidRPr="00BE6B4F">
        <w:rPr>
          <w:rFonts w:ascii="Helvetica" w:eastAsia="Times New Roman" w:hAnsi="Helvetica" w:cs="Times New Roman"/>
          <w:color w:val="292C32"/>
        </w:rPr>
        <w:lastRenderedPageBreak/>
        <w:fldChar w:fldCharType="begin"/>
      </w:r>
      <w:r w:rsidRPr="00BE6B4F">
        <w:rPr>
          <w:rFonts w:ascii="Helvetica" w:eastAsia="Times New Roman" w:hAnsi="Helvetica" w:cs="Times New Roman"/>
          <w:color w:val="292C32"/>
        </w:rPr>
        <w:instrText xml:space="preserve"> INCLUDEPICTURE "/var/folders/nj/m875g2tj2j50hjqpdb11s_540000gn/T/com.microsoft.Word/WebArchiveCopyPasteTempFiles/emirpr_t2.gif" \* MERGEFORMATINET </w:instrText>
      </w:r>
      <w:r w:rsidRPr="00BE6B4F">
        <w:rPr>
          <w:rFonts w:ascii="Helvetica" w:eastAsia="Times New Roman" w:hAnsi="Helvetica" w:cs="Times New Roman"/>
          <w:color w:val="292C32"/>
        </w:rPr>
        <w:fldChar w:fldCharType="separate"/>
      </w:r>
      <w:r w:rsidRPr="00BE6B4F">
        <w:rPr>
          <w:rFonts w:ascii="Helvetica" w:eastAsia="Times New Roman" w:hAnsi="Helvetica" w:cs="Times New Roman"/>
          <w:noProof/>
          <w:color w:val="292C32"/>
        </w:rPr>
        <w:drawing>
          <wp:inline distT="0" distB="0" distL="0" distR="0" wp14:anchorId="0DE7FCBC" wp14:editId="2B7B59F9">
            <wp:extent cx="5943600" cy="2148840"/>
            <wp:effectExtent l="0" t="0" r="0" b="0"/>
            <wp:docPr id="1" name="Picture 1" descr="emirpr_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rpr_t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48840"/>
                    </a:xfrm>
                    <a:prstGeom prst="rect">
                      <a:avLst/>
                    </a:prstGeom>
                    <a:noFill/>
                    <a:ln>
                      <a:noFill/>
                    </a:ln>
                  </pic:spPr>
                </pic:pic>
              </a:graphicData>
            </a:graphic>
          </wp:inline>
        </w:drawing>
      </w:r>
      <w:r w:rsidRPr="00BE6B4F">
        <w:rPr>
          <w:rFonts w:ascii="Helvetica" w:eastAsia="Times New Roman" w:hAnsi="Helvetica" w:cs="Times New Roman"/>
          <w:color w:val="292C32"/>
        </w:rPr>
        <w:fldChar w:fldCharType="end"/>
      </w:r>
    </w:p>
    <w:p w14:paraId="21D94997" w14:textId="77777777" w:rsidR="00BE6B4F" w:rsidRPr="00216CEB" w:rsidRDefault="00BE6B4F" w:rsidP="00BE6B4F">
      <w:pPr>
        <w:shd w:val="clear" w:color="auto" w:fill="FFFFFF"/>
        <w:spacing w:before="180"/>
        <w:rPr>
          <w:rFonts w:ascii="Helvetica" w:eastAsia="Times New Roman" w:hAnsi="Helvetica" w:cs="Times New Roman"/>
          <w:color w:val="292C32"/>
          <w:highlight w:val="darkGray"/>
        </w:rPr>
      </w:pPr>
      <w:r w:rsidRPr="00216CEB">
        <w:rPr>
          <w:rFonts w:ascii="Helvetica" w:eastAsia="Times New Roman" w:hAnsi="Helvetica" w:cs="Times New Roman"/>
          <w:color w:val="292C32"/>
          <w:highlight w:val="darkGray"/>
        </w:rPr>
        <w:t>The peer review assessed how the six Authorities supervised data quality under EMIR in the following areas:</w:t>
      </w:r>
    </w:p>
    <w:p w14:paraId="27E8EE9D" w14:textId="77777777" w:rsidR="00BE6B4F" w:rsidRPr="00216CEB" w:rsidRDefault="00BE6B4F" w:rsidP="00BE6B4F">
      <w:pPr>
        <w:numPr>
          <w:ilvl w:val="0"/>
          <w:numId w:val="2"/>
        </w:numPr>
        <w:shd w:val="clear" w:color="auto" w:fill="FFFFFF"/>
        <w:spacing w:before="100" w:beforeAutospacing="1" w:after="100" w:afterAutospacing="1"/>
        <w:rPr>
          <w:rFonts w:ascii="Helvetica" w:eastAsia="Times New Roman" w:hAnsi="Helvetica" w:cs="Times New Roman"/>
          <w:color w:val="292C32"/>
          <w:highlight w:val="darkGray"/>
        </w:rPr>
      </w:pPr>
      <w:r w:rsidRPr="00216CEB">
        <w:rPr>
          <w:rFonts w:ascii="Helvetica" w:eastAsia="Times New Roman" w:hAnsi="Helvetica" w:cs="Times New Roman"/>
          <w:color w:val="292C32"/>
          <w:highlight w:val="darkGray"/>
        </w:rPr>
        <w:t>NCAs’ supervisory approach to EMIR data quality;</w:t>
      </w:r>
    </w:p>
    <w:p w14:paraId="2E16BED3" w14:textId="77777777" w:rsidR="00BE6B4F" w:rsidRPr="00216CEB" w:rsidRDefault="00BE6B4F" w:rsidP="00BE6B4F">
      <w:pPr>
        <w:numPr>
          <w:ilvl w:val="0"/>
          <w:numId w:val="2"/>
        </w:numPr>
        <w:shd w:val="clear" w:color="auto" w:fill="FFFFFF"/>
        <w:spacing w:before="100" w:beforeAutospacing="1" w:after="100" w:afterAutospacing="1"/>
        <w:rPr>
          <w:rFonts w:ascii="Helvetica" w:eastAsia="Times New Roman" w:hAnsi="Helvetica" w:cs="Times New Roman"/>
          <w:color w:val="292C32"/>
          <w:highlight w:val="darkGray"/>
        </w:rPr>
      </w:pPr>
      <w:r w:rsidRPr="00216CEB">
        <w:rPr>
          <w:rFonts w:ascii="Helvetica" w:eastAsia="Times New Roman" w:hAnsi="Helvetica" w:cs="Times New Roman"/>
          <w:color w:val="292C32"/>
          <w:highlight w:val="darkGray"/>
        </w:rPr>
        <w:t>Integration of EMIR data within the NCA’s overall supervisory approach; and</w:t>
      </w:r>
    </w:p>
    <w:p w14:paraId="39A36A90" w14:textId="77777777" w:rsidR="00BE6B4F" w:rsidRPr="00216CEB" w:rsidRDefault="00BE6B4F" w:rsidP="00BE6B4F">
      <w:pPr>
        <w:numPr>
          <w:ilvl w:val="0"/>
          <w:numId w:val="2"/>
        </w:numPr>
        <w:shd w:val="clear" w:color="auto" w:fill="FFFFFF"/>
        <w:spacing w:before="100" w:beforeAutospacing="1" w:after="100" w:afterAutospacing="1"/>
        <w:rPr>
          <w:rFonts w:ascii="Helvetica" w:eastAsia="Times New Roman" w:hAnsi="Helvetica" w:cs="Times New Roman"/>
          <w:color w:val="292C32"/>
          <w:highlight w:val="darkGray"/>
        </w:rPr>
      </w:pPr>
      <w:r w:rsidRPr="00216CEB">
        <w:rPr>
          <w:rFonts w:ascii="Helvetica" w:eastAsia="Times New Roman" w:hAnsi="Helvetica" w:cs="Times New Roman"/>
          <w:color w:val="292C32"/>
          <w:highlight w:val="darkGray"/>
        </w:rPr>
        <w:t>NCAs’ access, assessment and analysis of EMIR data quality.</w:t>
      </w:r>
    </w:p>
    <w:p w14:paraId="4D3BDBD8" w14:textId="77777777" w:rsidR="00BE6B4F" w:rsidRPr="00BE6B4F" w:rsidRDefault="00BE6B4F" w:rsidP="00BE6B4F">
      <w:pPr>
        <w:shd w:val="clear" w:color="auto" w:fill="FFFFFF"/>
        <w:spacing w:before="180"/>
        <w:rPr>
          <w:rFonts w:ascii="Helvetica" w:eastAsia="Times New Roman" w:hAnsi="Helvetica" w:cs="Times New Roman"/>
          <w:color w:val="292C32"/>
        </w:rPr>
      </w:pPr>
      <w:r w:rsidRPr="00216CEB">
        <w:rPr>
          <w:rFonts w:ascii="Helvetica" w:eastAsia="Times New Roman" w:hAnsi="Helvetica" w:cs="Times New Roman"/>
          <w:color w:val="292C32"/>
          <w:highlight w:val="darkGray"/>
        </w:rPr>
        <w:t xml:space="preserve">The review delivered mixed results for the six NCAs. The majority of NCAs had a supervisory approach to EMIR data quality in place. However, two NCAs lagged behind when it comes to integrating EMIR data quality controls into their overall supervisory approach, which negatively impacted the NCAs’ ability to access, assess and </w:t>
      </w:r>
      <w:proofErr w:type="spellStart"/>
      <w:r w:rsidRPr="00216CEB">
        <w:rPr>
          <w:rFonts w:ascii="Helvetica" w:eastAsia="Times New Roman" w:hAnsi="Helvetica" w:cs="Times New Roman"/>
          <w:color w:val="292C32"/>
          <w:highlight w:val="darkGray"/>
        </w:rPr>
        <w:t>analyse</w:t>
      </w:r>
      <w:proofErr w:type="spellEnd"/>
      <w:r w:rsidRPr="00216CEB">
        <w:rPr>
          <w:rFonts w:ascii="Helvetica" w:eastAsia="Times New Roman" w:hAnsi="Helvetica" w:cs="Times New Roman"/>
          <w:color w:val="292C32"/>
          <w:highlight w:val="darkGray"/>
        </w:rPr>
        <w:t xml:space="preserve"> EMIR data.</w:t>
      </w:r>
    </w:p>
    <w:p w14:paraId="0C6DDCE4" w14:textId="77777777" w:rsidR="00BE6B4F" w:rsidRPr="00216CEB" w:rsidRDefault="00BE6B4F" w:rsidP="00BE6B4F">
      <w:pPr>
        <w:shd w:val="clear" w:color="auto" w:fill="FFFFFF"/>
        <w:spacing w:before="180"/>
        <w:rPr>
          <w:rFonts w:ascii="Helvetica" w:eastAsia="Times New Roman" w:hAnsi="Helvetica" w:cs="Times New Roman"/>
          <w:color w:val="292C32"/>
          <w:highlight w:val="lightGray"/>
        </w:rPr>
      </w:pPr>
      <w:r w:rsidRPr="00216CEB">
        <w:rPr>
          <w:rFonts w:ascii="Helvetica" w:eastAsia="Times New Roman" w:hAnsi="Helvetica" w:cs="Times New Roman"/>
          <w:b/>
          <w:bCs/>
          <w:color w:val="292C32"/>
          <w:highlight w:val="lightGray"/>
        </w:rPr>
        <w:t>ESMA identifies good practices and sets out plans to improve supervision of data quality</w:t>
      </w:r>
      <w:r w:rsidRPr="00216CEB">
        <w:rPr>
          <w:rFonts w:ascii="Helvetica" w:eastAsia="Times New Roman" w:hAnsi="Helvetica" w:cs="Times New Roman"/>
          <w:color w:val="292C32"/>
          <w:highlight w:val="lightGray"/>
        </w:rPr>
        <w:t>    </w:t>
      </w:r>
    </w:p>
    <w:p w14:paraId="72537D69" w14:textId="5287EA87" w:rsidR="00BE6B4F" w:rsidRPr="00BE6B4F" w:rsidRDefault="00BE6B4F" w:rsidP="00BE6B4F">
      <w:pPr>
        <w:shd w:val="clear" w:color="auto" w:fill="FFFFFF"/>
        <w:spacing w:before="180"/>
        <w:rPr>
          <w:rFonts w:ascii="Helvetica" w:eastAsia="Times New Roman" w:hAnsi="Helvetica" w:cs="Times New Roman"/>
          <w:color w:val="292C32"/>
        </w:rPr>
      </w:pPr>
      <w:r w:rsidRPr="00216CEB">
        <w:rPr>
          <w:rFonts w:ascii="Helvetica" w:eastAsia="Times New Roman" w:hAnsi="Helvetica" w:cs="Times New Roman"/>
          <w:color w:val="292C32"/>
          <w:highlight w:val="lightGray"/>
        </w:rPr>
        <w:t>The review also identified good supervisory practices by the six Authorities. These good practices should be considered by all NCAs and, where appropriate, incorporated into existing</w:t>
      </w:r>
      <w:r w:rsidR="00216CEB" w:rsidRPr="00216CEB">
        <w:rPr>
          <w:rFonts w:ascii="Helvetica" w:eastAsia="Times New Roman" w:hAnsi="Helvetica" w:cs="Times New Roman"/>
          <w:color w:val="292C32"/>
          <w:highlight w:val="lightGray"/>
        </w:rPr>
        <w:t xml:space="preserve"> </w:t>
      </w:r>
      <w:r w:rsidRPr="00216CEB">
        <w:rPr>
          <w:rFonts w:ascii="Helvetica" w:eastAsia="Times New Roman" w:hAnsi="Helvetica" w:cs="Times New Roman"/>
          <w:color w:val="292C32"/>
          <w:highlight w:val="lightGray"/>
        </w:rPr>
        <w:t>supervisory approaches. ESMA has also put forward several initiatives to improve the supervision of EMIR’s data quality in the short and long-term. The short-term initiatives include: revising NCAs’ annual Data Quality Review exercises and identifying how NCAs can regularly use the data as part of their overall supervisory approach.</w:t>
      </w:r>
    </w:p>
    <w:p w14:paraId="07FF129E" w14:textId="77777777" w:rsidR="00BE6B4F" w:rsidRPr="00BE6B4F" w:rsidRDefault="00BE6B4F" w:rsidP="00BE6B4F">
      <w:pPr>
        <w:shd w:val="clear" w:color="auto" w:fill="FFFFFF"/>
        <w:spacing w:before="180"/>
        <w:rPr>
          <w:rFonts w:ascii="Helvetica" w:eastAsia="Times New Roman" w:hAnsi="Helvetica" w:cs="Times New Roman"/>
          <w:color w:val="292C32"/>
        </w:rPr>
      </w:pPr>
      <w:r w:rsidRPr="00BE6B4F">
        <w:rPr>
          <w:rFonts w:ascii="Helvetica" w:eastAsia="Times New Roman" w:hAnsi="Helvetica" w:cs="Times New Roman"/>
          <w:b/>
          <w:bCs/>
          <w:color w:val="292C32"/>
        </w:rPr>
        <w:t>Background</w:t>
      </w:r>
    </w:p>
    <w:p w14:paraId="5F79F969" w14:textId="77777777" w:rsidR="00BE6B4F" w:rsidRPr="00216CEB" w:rsidRDefault="00BE6B4F" w:rsidP="00BE6B4F">
      <w:pPr>
        <w:shd w:val="clear" w:color="auto" w:fill="FFFFFF"/>
        <w:spacing w:before="180"/>
        <w:rPr>
          <w:rFonts w:ascii="Helvetica" w:eastAsia="Times New Roman" w:hAnsi="Helvetica" w:cs="Times New Roman"/>
          <w:color w:val="292C32"/>
          <w:highlight w:val="lightGray"/>
        </w:rPr>
      </w:pPr>
      <w:bookmarkStart w:id="0" w:name="_GoBack"/>
      <w:bookmarkEnd w:id="0"/>
      <w:r w:rsidRPr="00216CEB">
        <w:rPr>
          <w:rFonts w:ascii="Helvetica" w:eastAsia="Times New Roman" w:hAnsi="Helvetica" w:cs="Times New Roman"/>
          <w:color w:val="292C32"/>
          <w:highlight w:val="lightGray"/>
        </w:rPr>
        <w:t>Under EMIR, counterparties established in the EU must report details of any derivative contract they have concluded, modified or terminated, to registered TRs, which are supervised by ESMA. The reporting obligations apply to all derivative transactions (both over the counter and exchange-traded and cleared and non-cleared) of all asset classes. One of the many objectives of EMIR is to aim to reduce and identify systemic and counterparty risk and help prevent future financial system collapse by providing regulators high quality data.</w:t>
      </w:r>
    </w:p>
    <w:p w14:paraId="65620BF5" w14:textId="77777777" w:rsidR="00BE6B4F" w:rsidRPr="00BE6B4F" w:rsidRDefault="00BE6B4F" w:rsidP="00BE6B4F">
      <w:pPr>
        <w:shd w:val="clear" w:color="auto" w:fill="FFFFFF"/>
        <w:spacing w:before="180"/>
        <w:rPr>
          <w:rFonts w:ascii="Helvetica" w:eastAsia="Times New Roman" w:hAnsi="Helvetica" w:cs="Times New Roman"/>
          <w:color w:val="292C32"/>
        </w:rPr>
      </w:pPr>
      <w:r w:rsidRPr="00216CEB">
        <w:rPr>
          <w:rFonts w:ascii="Helvetica" w:eastAsia="Times New Roman" w:hAnsi="Helvetica" w:cs="Times New Roman"/>
          <w:color w:val="292C32"/>
          <w:highlight w:val="lightGray"/>
        </w:rPr>
        <w:lastRenderedPageBreak/>
        <w:t>ESMA and NCAs jointly launched the Data Quality Action Plan (DQAP) in September 2014. The DQAP is a voluntary self-assessment exercise based on annually agreed assessment criteria, undertaken by NCAs and ESMA, to improve the quality of certain aspects of data quality. However, separate to this exercise, ESMA decided in 2018 to conduct a peer review on supervisory actions aiming at enhancing the quality of data reported under EMIR. Undertaking a peer review is an additional tool available to improve data quality.</w:t>
      </w:r>
    </w:p>
    <w:p w14:paraId="04089B9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840B9"/>
    <w:multiLevelType w:val="multilevel"/>
    <w:tmpl w:val="75F2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E73E4"/>
    <w:multiLevelType w:val="multilevel"/>
    <w:tmpl w:val="6ECE6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C5"/>
    <w:rsid w:val="00216CEB"/>
    <w:rsid w:val="00453EED"/>
    <w:rsid w:val="004D56C5"/>
    <w:rsid w:val="00BE080D"/>
    <w:rsid w:val="00BE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DCE1C"/>
  <w14:defaultImageDpi w14:val="32767"/>
  <w15:chartTrackingRefBased/>
  <w15:docId w15:val="{34161572-77D4-8044-A1BC-6EB04850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E6B4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6B4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E6B4F"/>
  </w:style>
  <w:style w:type="paragraph" w:styleId="NormalWeb">
    <w:name w:val="Normal (Web)"/>
    <w:basedOn w:val="Normal"/>
    <w:uiPriority w:val="99"/>
    <w:semiHidden/>
    <w:unhideWhenUsed/>
    <w:rsid w:val="00BE6B4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E6B4F"/>
    <w:rPr>
      <w:color w:val="0000FF"/>
      <w:u w:val="single"/>
    </w:rPr>
  </w:style>
  <w:style w:type="character" w:styleId="Strong">
    <w:name w:val="Strong"/>
    <w:basedOn w:val="DefaultParagraphFont"/>
    <w:uiPriority w:val="22"/>
    <w:qFormat/>
    <w:rsid w:val="00BE6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799218">
      <w:bodyDiv w:val="1"/>
      <w:marLeft w:val="0"/>
      <w:marRight w:val="0"/>
      <w:marTop w:val="0"/>
      <w:marBottom w:val="0"/>
      <w:divBdr>
        <w:top w:val="none" w:sz="0" w:space="0" w:color="auto"/>
        <w:left w:val="none" w:sz="0" w:space="0" w:color="auto"/>
        <w:bottom w:val="none" w:sz="0" w:space="0" w:color="auto"/>
        <w:right w:val="none" w:sz="0" w:space="0" w:color="auto"/>
      </w:divBdr>
      <w:divsChild>
        <w:div w:id="1526480616">
          <w:marLeft w:val="0"/>
          <w:marRight w:val="0"/>
          <w:marTop w:val="0"/>
          <w:marBottom w:val="0"/>
          <w:divBdr>
            <w:top w:val="none" w:sz="0" w:space="0" w:color="auto"/>
            <w:left w:val="none" w:sz="0" w:space="0" w:color="auto"/>
            <w:bottom w:val="none" w:sz="0" w:space="0" w:color="auto"/>
            <w:right w:val="none" w:sz="0" w:space="0" w:color="auto"/>
          </w:divBdr>
          <w:divsChild>
            <w:div w:id="2085106711">
              <w:marLeft w:val="0"/>
              <w:marRight w:val="0"/>
              <w:marTop w:val="0"/>
              <w:marBottom w:val="120"/>
              <w:divBdr>
                <w:top w:val="none" w:sz="0" w:space="0" w:color="auto"/>
                <w:left w:val="none" w:sz="0" w:space="0" w:color="auto"/>
                <w:bottom w:val="none" w:sz="0" w:space="0" w:color="auto"/>
                <w:right w:val="none" w:sz="0" w:space="0" w:color="auto"/>
              </w:divBdr>
            </w:div>
            <w:div w:id="2097438629">
              <w:marLeft w:val="0"/>
              <w:marRight w:val="0"/>
              <w:marTop w:val="0"/>
              <w:marBottom w:val="0"/>
              <w:divBdr>
                <w:top w:val="none" w:sz="0" w:space="0" w:color="auto"/>
                <w:left w:val="none" w:sz="0" w:space="0" w:color="auto"/>
                <w:bottom w:val="none" w:sz="0" w:space="0" w:color="auto"/>
                <w:right w:val="none" w:sz="0" w:space="0" w:color="auto"/>
              </w:divBdr>
            </w:div>
            <w:div w:id="1462764335">
              <w:marLeft w:val="0"/>
              <w:marRight w:val="0"/>
              <w:marTop w:val="0"/>
              <w:marBottom w:val="0"/>
              <w:divBdr>
                <w:top w:val="none" w:sz="0" w:space="0" w:color="auto"/>
                <w:left w:val="none" w:sz="0" w:space="0" w:color="auto"/>
                <w:bottom w:val="none" w:sz="0" w:space="0" w:color="auto"/>
                <w:right w:val="none" w:sz="0" w:space="0" w:color="auto"/>
              </w:divBdr>
            </w:div>
            <w:div w:id="653484998">
              <w:marLeft w:val="0"/>
              <w:marRight w:val="0"/>
              <w:marTop w:val="0"/>
              <w:marBottom w:val="600"/>
              <w:divBdr>
                <w:top w:val="none" w:sz="0" w:space="0" w:color="auto"/>
                <w:left w:val="none" w:sz="0" w:space="0" w:color="auto"/>
                <w:bottom w:val="none" w:sz="0" w:space="0" w:color="auto"/>
                <w:right w:val="none" w:sz="0" w:space="0" w:color="auto"/>
              </w:divBdr>
            </w:div>
            <w:div w:id="15329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esma.europa.eu/document/emir-data-quality-peer-re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2020-02-21T10:32:00Z</dcterms:created>
  <dcterms:modified xsi:type="dcterms:W3CDTF">2020-05-11T14:18:00Z</dcterms:modified>
</cp:coreProperties>
</file>