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01A13" w14:textId="77777777" w:rsidR="00A80F5C" w:rsidRPr="00A80F5C" w:rsidRDefault="00A80F5C" w:rsidP="00A80F5C">
      <w:pPr>
        <w:shd w:val="clear" w:color="auto" w:fill="FFFFFF"/>
        <w:spacing w:after="100" w:afterAutospacing="1"/>
        <w:outlineLvl w:val="1"/>
        <w:rPr>
          <w:rFonts w:ascii="Helvetica" w:eastAsia="Times New Roman" w:hAnsi="Helvetica" w:cs="Times New Roman"/>
          <w:caps/>
          <w:color w:val="3B3D91"/>
          <w:sz w:val="36"/>
          <w:szCs w:val="36"/>
        </w:rPr>
      </w:pPr>
      <w:r w:rsidRPr="00A80F5C">
        <w:rPr>
          <w:rFonts w:ascii="Helvetica" w:eastAsia="Times New Roman" w:hAnsi="Helvetica" w:cs="Times New Roman"/>
          <w:caps/>
          <w:color w:val="3B3D91"/>
          <w:sz w:val="36"/>
          <w:szCs w:val="36"/>
        </w:rPr>
        <w:t>MIFID II: ESMA CONSULTS ON POSITION LIMITS IN COMMODITY DERIVATIVES</w:t>
      </w:r>
    </w:p>
    <w:p w14:paraId="55C4FB3B" w14:textId="77777777" w:rsidR="00A80F5C" w:rsidRPr="00A80F5C" w:rsidRDefault="00A80F5C" w:rsidP="00A80F5C">
      <w:pPr>
        <w:shd w:val="clear" w:color="auto" w:fill="FFFFFF"/>
        <w:jc w:val="right"/>
        <w:rPr>
          <w:rFonts w:ascii="Helvetica" w:eastAsia="Times New Roman" w:hAnsi="Helvetica" w:cs="Times New Roman"/>
          <w:color w:val="292C32"/>
          <w:sz w:val="20"/>
          <w:szCs w:val="20"/>
        </w:rPr>
      </w:pPr>
      <w:r w:rsidRPr="00A80F5C">
        <w:rPr>
          <w:rFonts w:ascii="Helvetica" w:eastAsia="Times New Roman" w:hAnsi="Helvetica" w:cs="Times New Roman"/>
          <w:color w:val="292C32"/>
          <w:sz w:val="20"/>
          <w:szCs w:val="20"/>
        </w:rPr>
        <w:t>05 November 2019 </w:t>
      </w:r>
    </w:p>
    <w:p w14:paraId="00E6E659" w14:textId="77777777" w:rsidR="00A80F5C" w:rsidRPr="00A80F5C" w:rsidRDefault="00A80F5C" w:rsidP="00A80F5C">
      <w:pPr>
        <w:shd w:val="clear" w:color="auto" w:fill="EEEEF0"/>
        <w:rPr>
          <w:rFonts w:ascii="Helvetica" w:eastAsia="Times New Roman" w:hAnsi="Helvetica" w:cs="Times New Roman"/>
          <w:caps/>
          <w:color w:val="3B3D91"/>
        </w:rPr>
      </w:pPr>
      <w:r w:rsidRPr="00A80F5C">
        <w:rPr>
          <w:rFonts w:ascii="Helvetica" w:eastAsia="Times New Roman" w:hAnsi="Helvetica" w:cs="Times New Roman"/>
          <w:caps/>
          <w:color w:val="3B3D91"/>
        </w:rPr>
        <w:t>MIFID - SECONDARY MARKETS</w:t>
      </w:r>
    </w:p>
    <w:p w14:paraId="351F84A1" w14:textId="77777777" w:rsidR="00A80F5C" w:rsidRPr="00A80F5C" w:rsidRDefault="00A80F5C" w:rsidP="00A80F5C">
      <w:pPr>
        <w:shd w:val="clear" w:color="auto" w:fill="EEEEF0"/>
        <w:rPr>
          <w:rFonts w:ascii="Helvetica" w:eastAsia="Times New Roman" w:hAnsi="Helvetica" w:cs="Times New Roman"/>
          <w:caps/>
          <w:color w:val="3B3D91"/>
        </w:rPr>
      </w:pPr>
      <w:r w:rsidRPr="00A80F5C">
        <w:rPr>
          <w:rFonts w:ascii="Helvetica" w:eastAsia="Times New Roman" w:hAnsi="Helvetica" w:cs="Times New Roman"/>
          <w:caps/>
          <w:color w:val="3B3D91"/>
        </w:rPr>
        <w:t>PRESS RELEASES</w:t>
      </w:r>
    </w:p>
    <w:p w14:paraId="152FD2FC" w14:textId="77777777" w:rsidR="00A80F5C" w:rsidRPr="00A80F5C" w:rsidRDefault="00A80F5C" w:rsidP="00A80F5C">
      <w:pPr>
        <w:shd w:val="clear" w:color="auto" w:fill="FFFFFF"/>
        <w:rPr>
          <w:rFonts w:ascii="Helvetica" w:eastAsia="Times New Roman" w:hAnsi="Helvetica" w:cs="Times New Roman"/>
          <w:color w:val="292C32"/>
        </w:rPr>
      </w:pPr>
      <w:r w:rsidRPr="00A80F5C">
        <w:rPr>
          <w:rFonts w:ascii="Helvetica" w:eastAsia="Times New Roman" w:hAnsi="Helvetica" w:cs="Times New Roman"/>
          <w:color w:val="292C32"/>
        </w:rPr>
        <w:t>The European Securities and Markets Authority (ESMA) has today launched a </w:t>
      </w:r>
      <w:hyperlink r:id="rId4" w:history="1">
        <w:r w:rsidRPr="00A80F5C">
          <w:rPr>
            <w:rFonts w:ascii="Helvetica" w:eastAsia="Times New Roman" w:hAnsi="Helvetica" w:cs="Times New Roman"/>
            <w:color w:val="3B3D91"/>
            <w:u w:val="single"/>
          </w:rPr>
          <w:t>Consultation Paper</w:t>
        </w:r>
      </w:hyperlink>
      <w:r w:rsidRPr="00A80F5C">
        <w:rPr>
          <w:rFonts w:ascii="Helvetica" w:eastAsia="Times New Roman" w:hAnsi="Helvetica" w:cs="Times New Roman"/>
          <w:color w:val="292C32"/>
        </w:rPr>
        <w:t> on position limits and position management in commodity derivatives. </w:t>
      </w:r>
    </w:p>
    <w:p w14:paraId="66BDB8E4" w14:textId="77777777" w:rsidR="00A80F5C" w:rsidRPr="00A80F5C" w:rsidRDefault="00A80F5C" w:rsidP="00A80F5C">
      <w:pPr>
        <w:shd w:val="clear" w:color="auto" w:fill="FFFFFF"/>
        <w:rPr>
          <w:rFonts w:ascii="Helvetica" w:eastAsia="Times New Roman" w:hAnsi="Helvetica" w:cs="Times New Roman"/>
          <w:color w:val="292C32"/>
        </w:rPr>
      </w:pPr>
      <w:r w:rsidRPr="00A80F5C">
        <w:rPr>
          <w:rFonts w:ascii="Helvetica" w:eastAsia="Times New Roman" w:hAnsi="Helvetica" w:cs="Times New Roman"/>
          <w:color w:val="292C32"/>
        </w:rPr>
        <w:t>ESMA launches this consultation paper in the context of the review it is obliged to perform under MiFID II, together with the European Commission (EC</w:t>
      </w:r>
      <w:r w:rsidRPr="008E0917">
        <w:rPr>
          <w:rFonts w:ascii="Helvetica" w:eastAsia="Times New Roman" w:hAnsi="Helvetica" w:cs="Times New Roman"/>
          <w:color w:val="292C32"/>
          <w:highlight w:val="darkGray"/>
        </w:rPr>
        <w:t>), on the impact of position limits on liquidity, market abuse and orderly pricing and settlement conditions in commodity derivative markets and is</w:t>
      </w:r>
      <w:r w:rsidRPr="00A80F5C">
        <w:rPr>
          <w:rFonts w:ascii="Helvetica" w:eastAsia="Times New Roman" w:hAnsi="Helvetica" w:cs="Times New Roman"/>
          <w:color w:val="292C32"/>
        </w:rPr>
        <w:t xml:space="preserve"> seeking stakeholders’ views on some proposed amendments to the legal framework.</w:t>
      </w:r>
    </w:p>
    <w:p w14:paraId="176AF2E3" w14:textId="77777777" w:rsidR="00A80F5C" w:rsidRPr="00A80F5C" w:rsidRDefault="00A80F5C" w:rsidP="00A80F5C">
      <w:pPr>
        <w:shd w:val="clear" w:color="auto" w:fill="FFFFFF"/>
        <w:spacing w:before="180"/>
        <w:rPr>
          <w:rFonts w:ascii="Helvetica" w:eastAsia="Times New Roman" w:hAnsi="Helvetica" w:cs="Times New Roman"/>
          <w:color w:val="292C32"/>
        </w:rPr>
      </w:pPr>
      <w:r w:rsidRPr="00A80F5C">
        <w:rPr>
          <w:rFonts w:ascii="Helvetica" w:eastAsia="Times New Roman" w:hAnsi="Helvetica" w:cs="Times New Roman"/>
          <w:color w:val="292C32"/>
        </w:rPr>
        <w:t xml:space="preserve">Building on the responses received to </w:t>
      </w:r>
      <w:r w:rsidRPr="008E0917">
        <w:rPr>
          <w:rFonts w:ascii="Helvetica" w:eastAsia="Times New Roman" w:hAnsi="Helvetica" w:cs="Times New Roman"/>
          <w:color w:val="292C32"/>
          <w:highlight w:val="darkGray"/>
        </w:rPr>
        <w:t>the call for evidence published in</w:t>
      </w:r>
      <w:r w:rsidRPr="00A80F5C">
        <w:rPr>
          <w:rFonts w:ascii="Helvetica" w:eastAsia="Times New Roman" w:hAnsi="Helvetica" w:cs="Times New Roman"/>
          <w:color w:val="292C32"/>
        </w:rPr>
        <w:t xml:space="preserve"> May 2019, the </w:t>
      </w:r>
      <w:r w:rsidRPr="008E0917">
        <w:rPr>
          <w:rFonts w:ascii="Helvetica" w:eastAsia="Times New Roman" w:hAnsi="Helvetica" w:cs="Times New Roman"/>
          <w:color w:val="292C32"/>
          <w:highlight w:val="darkGray"/>
        </w:rPr>
        <w:t>consultation paper analyses the impact of position limits on market abuse and orderly pricing and settlement as well as the impact the position limit regime may have had on less liquid commodity derivative contracts.</w:t>
      </w:r>
      <w:r w:rsidRPr="00A80F5C">
        <w:rPr>
          <w:rFonts w:ascii="Helvetica" w:eastAsia="Times New Roman" w:hAnsi="Helvetica" w:cs="Times New Roman"/>
          <w:color w:val="292C32"/>
        </w:rPr>
        <w:t xml:space="preserve"> The consultation paper is also seeking stakeholders’ views on some proposed changes to the legal framework aiming in </w:t>
      </w:r>
      <w:r w:rsidRPr="008E0917">
        <w:rPr>
          <w:rFonts w:ascii="Helvetica" w:eastAsia="Times New Roman" w:hAnsi="Helvetica" w:cs="Times New Roman"/>
          <w:color w:val="292C32"/>
          <w:highlight w:val="darkGray"/>
        </w:rPr>
        <w:t>particular at limiting the scope of commodity derivatives subject to position limits to key contracts, introducing a limited position limit exemption for financial counterparties and enhancing convergence in the implementation of position management regimes by trading venues.</w:t>
      </w:r>
      <w:bookmarkStart w:id="0" w:name="_GoBack"/>
      <w:bookmarkEnd w:id="0"/>
    </w:p>
    <w:p w14:paraId="7CF4A768" w14:textId="77777777" w:rsidR="00A80F5C" w:rsidRPr="00A80F5C" w:rsidRDefault="00A80F5C" w:rsidP="00A80F5C">
      <w:pPr>
        <w:shd w:val="clear" w:color="auto" w:fill="FFFFFF"/>
        <w:spacing w:before="180"/>
        <w:rPr>
          <w:rFonts w:ascii="Helvetica" w:eastAsia="Times New Roman" w:hAnsi="Helvetica" w:cs="Times New Roman"/>
          <w:color w:val="292C32"/>
        </w:rPr>
      </w:pPr>
      <w:r w:rsidRPr="00A80F5C">
        <w:rPr>
          <w:rFonts w:ascii="Helvetica" w:eastAsia="Times New Roman" w:hAnsi="Helvetica" w:cs="Times New Roman"/>
          <w:color w:val="292C32"/>
        </w:rPr>
        <w:t xml:space="preserve">In a second part, the consultation paper is seeking stakeholders’ views on an amendment to </w:t>
      </w:r>
      <w:r w:rsidRPr="008E0917">
        <w:rPr>
          <w:rFonts w:ascii="Helvetica" w:eastAsia="Times New Roman" w:hAnsi="Helvetica" w:cs="Times New Roman"/>
          <w:color w:val="292C32"/>
          <w:highlight w:val="darkGray"/>
        </w:rPr>
        <w:t>the quantitative thresholds that trigger publication of weekly position reports by trading venues so that more transparency is available for commodity derivative contracts traded in the EU27.</w:t>
      </w:r>
    </w:p>
    <w:p w14:paraId="50C742C8" w14:textId="77777777" w:rsidR="00A80F5C" w:rsidRPr="008E0917" w:rsidRDefault="00A80F5C" w:rsidP="00A80F5C">
      <w:pPr>
        <w:shd w:val="clear" w:color="auto" w:fill="FFFFFF"/>
        <w:spacing w:before="180"/>
        <w:rPr>
          <w:rFonts w:ascii="Helvetica" w:eastAsia="Times New Roman" w:hAnsi="Helvetica" w:cs="Times New Roman"/>
          <w:color w:val="292C32"/>
          <w:highlight w:val="yellow"/>
        </w:rPr>
      </w:pPr>
      <w:r w:rsidRPr="008E0917">
        <w:rPr>
          <w:rFonts w:ascii="Helvetica" w:eastAsia="Times New Roman" w:hAnsi="Helvetica" w:cs="Times New Roman"/>
          <w:b/>
          <w:bCs/>
          <w:color w:val="292C32"/>
          <w:highlight w:val="yellow"/>
        </w:rPr>
        <w:t>Next steps and timeline </w:t>
      </w:r>
    </w:p>
    <w:p w14:paraId="0759D232" w14:textId="77777777" w:rsidR="00A80F5C" w:rsidRPr="00A80F5C" w:rsidRDefault="00A80F5C" w:rsidP="00A80F5C">
      <w:pPr>
        <w:shd w:val="clear" w:color="auto" w:fill="FFFFFF"/>
        <w:spacing w:before="180"/>
        <w:rPr>
          <w:rFonts w:ascii="Helvetica" w:eastAsia="Times New Roman" w:hAnsi="Helvetica" w:cs="Times New Roman"/>
          <w:color w:val="292C32"/>
        </w:rPr>
      </w:pPr>
      <w:r w:rsidRPr="008E0917">
        <w:rPr>
          <w:rFonts w:ascii="Helvetica" w:eastAsia="Times New Roman" w:hAnsi="Helvetica" w:cs="Times New Roman"/>
          <w:color w:val="292C32"/>
          <w:highlight w:val="yellow"/>
        </w:rPr>
        <w:t xml:space="preserve">Stakeholders are invited to provide feedback by 8 January 2020. ESMA will consider the feedback received in drafting its final report to the EC on the impact of position limits and position management controls on commodity derivatives markets and in </w:t>
      </w:r>
      <w:proofErr w:type="spellStart"/>
      <w:r w:rsidRPr="008E0917">
        <w:rPr>
          <w:rFonts w:ascii="Helvetica" w:eastAsia="Times New Roman" w:hAnsi="Helvetica" w:cs="Times New Roman"/>
          <w:color w:val="292C32"/>
          <w:highlight w:val="yellow"/>
        </w:rPr>
        <w:t>finalising</w:t>
      </w:r>
      <w:proofErr w:type="spellEnd"/>
      <w:r w:rsidRPr="008E0917">
        <w:rPr>
          <w:rFonts w:ascii="Helvetica" w:eastAsia="Times New Roman" w:hAnsi="Helvetica" w:cs="Times New Roman"/>
          <w:color w:val="292C32"/>
          <w:highlight w:val="yellow"/>
        </w:rPr>
        <w:t xml:space="preserve"> the technical advice on weekly position reports. ESMA intends to complete those two workstreams by the end of March 2020.</w:t>
      </w:r>
    </w:p>
    <w:p w14:paraId="10A094C9"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007"/>
    <w:rsid w:val="00453EED"/>
    <w:rsid w:val="00631007"/>
    <w:rsid w:val="008E0917"/>
    <w:rsid w:val="00A80F5C"/>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CD0E4B"/>
  <w14:defaultImageDpi w14:val="32767"/>
  <w15:chartTrackingRefBased/>
  <w15:docId w15:val="{7229A3EF-EBDD-6140-9172-80E8D45BF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A80F5C"/>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0F5C"/>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A80F5C"/>
  </w:style>
  <w:style w:type="paragraph" w:styleId="NormalWeb">
    <w:name w:val="Normal (Web)"/>
    <w:basedOn w:val="Normal"/>
    <w:uiPriority w:val="99"/>
    <w:semiHidden/>
    <w:unhideWhenUsed/>
    <w:rsid w:val="00A80F5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A80F5C"/>
    <w:rPr>
      <w:color w:val="0000FF"/>
      <w:u w:val="single"/>
    </w:rPr>
  </w:style>
  <w:style w:type="character" w:styleId="Strong">
    <w:name w:val="Strong"/>
    <w:basedOn w:val="DefaultParagraphFont"/>
    <w:uiPriority w:val="22"/>
    <w:qFormat/>
    <w:rsid w:val="00A80F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411795">
      <w:bodyDiv w:val="1"/>
      <w:marLeft w:val="0"/>
      <w:marRight w:val="0"/>
      <w:marTop w:val="0"/>
      <w:marBottom w:val="0"/>
      <w:divBdr>
        <w:top w:val="none" w:sz="0" w:space="0" w:color="auto"/>
        <w:left w:val="none" w:sz="0" w:space="0" w:color="auto"/>
        <w:bottom w:val="none" w:sz="0" w:space="0" w:color="auto"/>
        <w:right w:val="none" w:sz="0" w:space="0" w:color="auto"/>
      </w:divBdr>
      <w:divsChild>
        <w:div w:id="942152827">
          <w:marLeft w:val="0"/>
          <w:marRight w:val="0"/>
          <w:marTop w:val="0"/>
          <w:marBottom w:val="0"/>
          <w:divBdr>
            <w:top w:val="none" w:sz="0" w:space="0" w:color="auto"/>
            <w:left w:val="none" w:sz="0" w:space="0" w:color="auto"/>
            <w:bottom w:val="none" w:sz="0" w:space="0" w:color="auto"/>
            <w:right w:val="none" w:sz="0" w:space="0" w:color="auto"/>
          </w:divBdr>
          <w:divsChild>
            <w:div w:id="1432626576">
              <w:marLeft w:val="0"/>
              <w:marRight w:val="0"/>
              <w:marTop w:val="0"/>
              <w:marBottom w:val="120"/>
              <w:divBdr>
                <w:top w:val="none" w:sz="0" w:space="0" w:color="auto"/>
                <w:left w:val="none" w:sz="0" w:space="0" w:color="auto"/>
                <w:bottom w:val="none" w:sz="0" w:space="0" w:color="auto"/>
                <w:right w:val="none" w:sz="0" w:space="0" w:color="auto"/>
              </w:divBdr>
            </w:div>
            <w:div w:id="529998532">
              <w:marLeft w:val="0"/>
              <w:marRight w:val="0"/>
              <w:marTop w:val="0"/>
              <w:marBottom w:val="0"/>
              <w:divBdr>
                <w:top w:val="none" w:sz="0" w:space="0" w:color="auto"/>
                <w:left w:val="none" w:sz="0" w:space="0" w:color="auto"/>
                <w:bottom w:val="none" w:sz="0" w:space="0" w:color="auto"/>
                <w:right w:val="none" w:sz="0" w:space="0" w:color="auto"/>
              </w:divBdr>
            </w:div>
            <w:div w:id="1250428489">
              <w:marLeft w:val="0"/>
              <w:marRight w:val="0"/>
              <w:marTop w:val="0"/>
              <w:marBottom w:val="0"/>
              <w:divBdr>
                <w:top w:val="none" w:sz="0" w:space="0" w:color="auto"/>
                <w:left w:val="none" w:sz="0" w:space="0" w:color="auto"/>
                <w:bottom w:val="none" w:sz="0" w:space="0" w:color="auto"/>
                <w:right w:val="none" w:sz="0" w:space="0" w:color="auto"/>
              </w:divBdr>
            </w:div>
            <w:div w:id="691297587">
              <w:marLeft w:val="0"/>
              <w:marRight w:val="0"/>
              <w:marTop w:val="0"/>
              <w:marBottom w:val="600"/>
              <w:divBdr>
                <w:top w:val="none" w:sz="0" w:space="0" w:color="auto"/>
                <w:left w:val="none" w:sz="0" w:space="0" w:color="auto"/>
                <w:bottom w:val="none" w:sz="0" w:space="0" w:color="auto"/>
                <w:right w:val="none" w:sz="0" w:space="0" w:color="auto"/>
              </w:divBdr>
            </w:div>
            <w:div w:id="28019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sma.europa.eu/sites/default/files/library/esma70-156-1484_cp_position_limit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323</Words>
  <Characters>1844</Characters>
  <Application>Microsoft Office Word</Application>
  <DocSecurity>0</DocSecurity>
  <Lines>15</Lines>
  <Paragraphs>4</Paragraphs>
  <ScaleCrop>false</ScaleCrop>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2020-02-21T10:34:00Z</dcterms:created>
  <dcterms:modified xsi:type="dcterms:W3CDTF">2020-05-11T14:30:00Z</dcterms:modified>
</cp:coreProperties>
</file>