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97F3E" w14:textId="77777777" w:rsidR="00BE4C8F" w:rsidRPr="00BE4C8F" w:rsidRDefault="00BE4C8F" w:rsidP="00BE4C8F">
      <w:pPr>
        <w:shd w:val="clear" w:color="auto" w:fill="FFFFFF"/>
        <w:spacing w:after="100" w:afterAutospacing="1"/>
        <w:outlineLvl w:val="1"/>
        <w:rPr>
          <w:rFonts w:ascii="Helvetica" w:eastAsia="Times New Roman" w:hAnsi="Helvetica" w:cs="Times New Roman"/>
          <w:caps/>
          <w:color w:val="3B3D91"/>
          <w:sz w:val="36"/>
          <w:szCs w:val="36"/>
        </w:rPr>
      </w:pPr>
      <w:r w:rsidRPr="00BE4C8F">
        <w:rPr>
          <w:rFonts w:ascii="Helvetica" w:eastAsia="Times New Roman" w:hAnsi="Helvetica" w:cs="Times New Roman"/>
          <w:caps/>
          <w:color w:val="3B3D91"/>
          <w:sz w:val="36"/>
          <w:szCs w:val="36"/>
        </w:rPr>
        <w:t>MIFID II: ESMA MAKES NEW BOND LIQUIDITY DATA AVAILABLE</w:t>
      </w:r>
    </w:p>
    <w:p w14:paraId="753331DB" w14:textId="77777777" w:rsidR="00BE4C8F" w:rsidRPr="00BE4C8F" w:rsidRDefault="00BE4C8F" w:rsidP="00BE4C8F">
      <w:pPr>
        <w:shd w:val="clear" w:color="auto" w:fill="FFFFFF"/>
        <w:jc w:val="right"/>
        <w:rPr>
          <w:rFonts w:ascii="Helvetica" w:eastAsia="Times New Roman" w:hAnsi="Helvetica" w:cs="Times New Roman"/>
          <w:color w:val="292C32"/>
          <w:sz w:val="20"/>
          <w:szCs w:val="20"/>
        </w:rPr>
      </w:pPr>
      <w:r w:rsidRPr="00BE4C8F">
        <w:rPr>
          <w:rFonts w:ascii="Helvetica" w:eastAsia="Times New Roman" w:hAnsi="Helvetica" w:cs="Times New Roman"/>
          <w:color w:val="292C32"/>
          <w:sz w:val="20"/>
          <w:szCs w:val="20"/>
        </w:rPr>
        <w:t>08 November 2019 </w:t>
      </w:r>
    </w:p>
    <w:p w14:paraId="480C9193" w14:textId="77777777" w:rsidR="00BE4C8F" w:rsidRPr="00BE4C8F" w:rsidRDefault="00BE4C8F" w:rsidP="00BE4C8F">
      <w:pPr>
        <w:shd w:val="clear" w:color="auto" w:fill="EEEEF0"/>
        <w:rPr>
          <w:rFonts w:ascii="Helvetica" w:eastAsia="Times New Roman" w:hAnsi="Helvetica" w:cs="Times New Roman"/>
          <w:caps/>
          <w:color w:val="3B3D91"/>
        </w:rPr>
      </w:pPr>
      <w:r w:rsidRPr="00BE4C8F">
        <w:rPr>
          <w:rFonts w:ascii="Helvetica" w:eastAsia="Times New Roman" w:hAnsi="Helvetica" w:cs="Times New Roman"/>
          <w:caps/>
          <w:color w:val="3B3D91"/>
        </w:rPr>
        <w:t>MIFID - SECONDARY MARKETS</w:t>
      </w:r>
    </w:p>
    <w:p w14:paraId="2539875A" w14:textId="77777777" w:rsidR="00BE4C8F" w:rsidRPr="00BE4C8F" w:rsidRDefault="00BE4C8F" w:rsidP="00BE4C8F">
      <w:pPr>
        <w:shd w:val="clear" w:color="auto" w:fill="EEEEF0"/>
        <w:rPr>
          <w:rFonts w:ascii="Helvetica" w:eastAsia="Times New Roman" w:hAnsi="Helvetica" w:cs="Times New Roman"/>
          <w:caps/>
          <w:color w:val="3B3D91"/>
        </w:rPr>
      </w:pPr>
      <w:r w:rsidRPr="00BE4C8F">
        <w:rPr>
          <w:rFonts w:ascii="Helvetica" w:eastAsia="Times New Roman" w:hAnsi="Helvetica" w:cs="Times New Roman"/>
          <w:caps/>
          <w:color w:val="3B3D91"/>
        </w:rPr>
        <w:t>MIFID II: TRANSPARENCY CALCULATIONS AND DVC</w:t>
      </w:r>
    </w:p>
    <w:p w14:paraId="2B0A3E18" w14:textId="77777777" w:rsidR="00BE4C8F" w:rsidRPr="00BE4C8F" w:rsidRDefault="00BE4C8F" w:rsidP="00BE4C8F">
      <w:pPr>
        <w:shd w:val="clear" w:color="auto" w:fill="FFFFFF"/>
        <w:rPr>
          <w:rFonts w:ascii="Helvetica" w:eastAsia="Times New Roman" w:hAnsi="Helvetica" w:cs="Times New Roman"/>
          <w:color w:val="292C32"/>
        </w:rPr>
      </w:pPr>
      <w:r w:rsidRPr="00087821">
        <w:rPr>
          <w:rFonts w:ascii="Helvetica" w:eastAsia="Times New Roman" w:hAnsi="Helvetica" w:cs="Times New Roman"/>
          <w:color w:val="292C32"/>
          <w:highlight w:val="lightGray"/>
        </w:rPr>
        <w:t>The European Securities and Markets Authority (ESMA) has started today to make available new data for bonds subject to the pre- and post-trade requirements of the Markets in Financial Instruments Directive (MiFID II) and Regulation (</w:t>
      </w:r>
      <w:proofErr w:type="spellStart"/>
      <w:r w:rsidRPr="00087821">
        <w:rPr>
          <w:rFonts w:ascii="Helvetica" w:eastAsia="Times New Roman" w:hAnsi="Helvetica" w:cs="Times New Roman"/>
          <w:color w:val="292C32"/>
          <w:highlight w:val="lightGray"/>
        </w:rPr>
        <w:t>MiFIR</w:t>
      </w:r>
      <w:proofErr w:type="spellEnd"/>
      <w:r w:rsidRPr="00087821">
        <w:rPr>
          <w:rFonts w:ascii="Helvetica" w:eastAsia="Times New Roman" w:hAnsi="Helvetica" w:cs="Times New Roman"/>
          <w:color w:val="292C32"/>
          <w:highlight w:val="lightGray"/>
        </w:rPr>
        <w:t>) through its data register.</w:t>
      </w:r>
    </w:p>
    <w:p w14:paraId="42FCF39D" w14:textId="77777777" w:rsidR="00BE4C8F" w:rsidRPr="00BE4C8F" w:rsidRDefault="00BE4C8F" w:rsidP="00BE4C8F">
      <w:pPr>
        <w:shd w:val="clear" w:color="auto" w:fill="FFFFFF"/>
        <w:rPr>
          <w:rFonts w:ascii="Helvetica" w:eastAsia="Times New Roman" w:hAnsi="Helvetica" w:cs="Times New Roman"/>
          <w:color w:val="292C32"/>
        </w:rPr>
      </w:pPr>
      <w:r w:rsidRPr="00087821">
        <w:rPr>
          <w:rFonts w:ascii="Helvetica" w:eastAsia="Times New Roman" w:hAnsi="Helvetica" w:cs="Times New Roman"/>
          <w:color w:val="292C32"/>
          <w:highlight w:val="lightGray"/>
        </w:rPr>
        <w:t>As</w:t>
      </w:r>
      <w:hyperlink r:id="rId4" w:history="1">
        <w:r w:rsidRPr="00087821">
          <w:rPr>
            <w:rFonts w:ascii="Helvetica" w:eastAsia="Times New Roman" w:hAnsi="Helvetica" w:cs="Times New Roman"/>
            <w:color w:val="3B3D91"/>
            <w:highlight w:val="lightGray"/>
            <w:u w:val="single"/>
          </w:rPr>
          <w:t> </w:t>
        </w:r>
      </w:hyperlink>
      <w:hyperlink r:id="rId5" w:history="1">
        <w:r w:rsidRPr="00087821">
          <w:rPr>
            <w:rFonts w:ascii="Helvetica" w:eastAsia="Times New Roman" w:hAnsi="Helvetica" w:cs="Times New Roman"/>
            <w:color w:val="3B3D91"/>
            <w:highlight w:val="lightGray"/>
            <w:u w:val="single"/>
          </w:rPr>
          <w:t>announced</w:t>
        </w:r>
      </w:hyperlink>
      <w:r w:rsidRPr="00087821">
        <w:rPr>
          <w:rFonts w:ascii="Helvetica" w:eastAsia="Times New Roman" w:hAnsi="Helvetica" w:cs="Times New Roman"/>
          <w:color w:val="292C32"/>
          <w:highlight w:val="lightGray"/>
        </w:rPr>
        <w:t> on 30 October 2019, ESMA has started today to make available the latest quarterly liquidity assessment for bonds available for trading on EU trading venues. For this period, there are currently 611 liquid bonds subject to MiFID II transparency requirements.</w:t>
      </w:r>
    </w:p>
    <w:p w14:paraId="7D1AA027" w14:textId="77777777" w:rsidR="00BE4C8F" w:rsidRPr="00BE4C8F" w:rsidRDefault="00BE4C8F" w:rsidP="00BE4C8F">
      <w:pPr>
        <w:shd w:val="clear" w:color="auto" w:fill="FFFFFF"/>
        <w:spacing w:before="180"/>
        <w:rPr>
          <w:rFonts w:ascii="Helvetica" w:eastAsia="Times New Roman" w:hAnsi="Helvetica" w:cs="Times New Roman"/>
          <w:color w:val="292C32"/>
        </w:rPr>
      </w:pPr>
      <w:r w:rsidRPr="00087821">
        <w:rPr>
          <w:rFonts w:ascii="Helvetica" w:eastAsia="Times New Roman" w:hAnsi="Helvetica" w:cs="Times New Roman"/>
          <w:color w:val="292C32"/>
          <w:highlight w:val="darkGray"/>
        </w:rPr>
        <w:t>ESMA’s liquidity assessment for bonds is based on a quarterly assessment of quantitative liquidity criteria, which include the daily average trading activity (trades and notional amount) and percentage of days traded per quarter. ESMA updates the bond market liquidity assessments quarterly. However, additional data and corrections submitted to ESMA may result in further updates within each quarter, published in ESMA’s </w:t>
      </w:r>
      <w:hyperlink r:id="rId6" w:history="1">
        <w:r w:rsidRPr="00087821">
          <w:rPr>
            <w:rFonts w:ascii="Helvetica" w:eastAsia="Times New Roman" w:hAnsi="Helvetica" w:cs="Times New Roman"/>
            <w:color w:val="3B3D91"/>
            <w:highlight w:val="darkGray"/>
            <w:u w:val="single"/>
          </w:rPr>
          <w:t>Financial Instruments Transparency System (FITRS)</w:t>
        </w:r>
      </w:hyperlink>
      <w:r w:rsidRPr="00087821">
        <w:rPr>
          <w:rFonts w:ascii="Helvetica" w:eastAsia="Times New Roman" w:hAnsi="Helvetica" w:cs="Times New Roman"/>
          <w:color w:val="292C32"/>
          <w:highlight w:val="darkGray"/>
        </w:rPr>
        <w:t>, which shall be applicable the day following publication.</w:t>
      </w:r>
      <w:r w:rsidRPr="00BE4C8F">
        <w:rPr>
          <w:rFonts w:ascii="Helvetica" w:eastAsia="Times New Roman" w:hAnsi="Helvetica" w:cs="Times New Roman"/>
          <w:color w:val="292C32"/>
        </w:rPr>
        <w:t> </w:t>
      </w:r>
    </w:p>
    <w:p w14:paraId="017EFB5F" w14:textId="77777777" w:rsidR="00BE4C8F" w:rsidRPr="00087821" w:rsidRDefault="00BE4C8F" w:rsidP="00BE4C8F">
      <w:pPr>
        <w:shd w:val="clear" w:color="auto" w:fill="FFFFFF"/>
        <w:spacing w:before="180"/>
        <w:rPr>
          <w:rFonts w:ascii="Helvetica" w:eastAsia="Times New Roman" w:hAnsi="Helvetica" w:cs="Times New Roman"/>
          <w:color w:val="292C32"/>
          <w:highlight w:val="lightGray"/>
        </w:rPr>
      </w:pPr>
      <w:r w:rsidRPr="00087821">
        <w:rPr>
          <w:rFonts w:ascii="Helvetica" w:eastAsia="Times New Roman" w:hAnsi="Helvetica" w:cs="Times New Roman"/>
          <w:color w:val="292C32"/>
          <w:highlight w:val="lightGray"/>
        </w:rPr>
        <w:t>The full list of assessed bonds will be available through FITRS in the XML files with publication date from 8 November 2019 (</w:t>
      </w:r>
      <w:hyperlink r:id="rId7" w:history="1">
        <w:r w:rsidRPr="00087821">
          <w:rPr>
            <w:rFonts w:ascii="Helvetica" w:eastAsia="Times New Roman" w:hAnsi="Helvetica" w:cs="Times New Roman"/>
            <w:color w:val="3B3D91"/>
            <w:highlight w:val="lightGray"/>
            <w:u w:val="single"/>
          </w:rPr>
          <w:t>link available here</w:t>
        </w:r>
      </w:hyperlink>
      <w:r w:rsidRPr="00087821">
        <w:rPr>
          <w:rFonts w:ascii="Helvetica" w:eastAsia="Times New Roman" w:hAnsi="Helvetica" w:cs="Times New Roman"/>
          <w:color w:val="292C32"/>
          <w:highlight w:val="lightGray"/>
        </w:rPr>
        <w:t>) and through the Register web interface (</w:t>
      </w:r>
      <w:hyperlink r:id="rId8" w:history="1">
        <w:r w:rsidRPr="00087821">
          <w:rPr>
            <w:rFonts w:ascii="Helvetica" w:eastAsia="Times New Roman" w:hAnsi="Helvetica" w:cs="Times New Roman"/>
            <w:color w:val="3B3D91"/>
            <w:highlight w:val="lightGray"/>
            <w:u w:val="single"/>
          </w:rPr>
          <w:t>link available here</w:t>
        </w:r>
      </w:hyperlink>
      <w:r w:rsidRPr="00087821">
        <w:rPr>
          <w:rFonts w:ascii="Helvetica" w:eastAsia="Times New Roman" w:hAnsi="Helvetica" w:cs="Times New Roman"/>
          <w:color w:val="292C32"/>
          <w:highlight w:val="lightGray"/>
        </w:rPr>
        <w:t>).</w:t>
      </w:r>
    </w:p>
    <w:p w14:paraId="7F7E2115" w14:textId="77777777" w:rsidR="00BE4C8F" w:rsidRPr="00BE4C8F" w:rsidRDefault="00BE4C8F" w:rsidP="00BE4C8F">
      <w:pPr>
        <w:shd w:val="clear" w:color="auto" w:fill="FFFFFF"/>
        <w:spacing w:before="180"/>
        <w:rPr>
          <w:rFonts w:ascii="Helvetica" w:eastAsia="Times New Roman" w:hAnsi="Helvetica" w:cs="Times New Roman"/>
          <w:color w:val="292C32"/>
        </w:rPr>
      </w:pPr>
      <w:r w:rsidRPr="00087821">
        <w:rPr>
          <w:rFonts w:ascii="Helvetica" w:eastAsia="Times New Roman" w:hAnsi="Helvetica" w:cs="Times New Roman"/>
          <w:color w:val="292C32"/>
          <w:highlight w:val="lightGray"/>
        </w:rPr>
        <w:t>As communicated on </w:t>
      </w:r>
      <w:hyperlink r:id="rId9" w:history="1">
        <w:r w:rsidRPr="00087821">
          <w:rPr>
            <w:rFonts w:ascii="Helvetica" w:eastAsia="Times New Roman" w:hAnsi="Helvetica" w:cs="Times New Roman"/>
            <w:color w:val="3B3D91"/>
            <w:highlight w:val="lightGray"/>
            <w:u w:val="single"/>
          </w:rPr>
          <w:t>27 September 2018</w:t>
        </w:r>
      </w:hyperlink>
      <w:r w:rsidRPr="00087821">
        <w:rPr>
          <w:rFonts w:ascii="Helvetica" w:eastAsia="Times New Roman" w:hAnsi="Helvetica" w:cs="Times New Roman"/>
          <w:color w:val="292C32"/>
          <w:highlight w:val="lightGray"/>
        </w:rPr>
        <w:t>, ESMA is also publishing two </w:t>
      </w:r>
      <w:hyperlink r:id="rId10" w:history="1">
        <w:r w:rsidRPr="00087821">
          <w:rPr>
            <w:rFonts w:ascii="Helvetica" w:eastAsia="Times New Roman" w:hAnsi="Helvetica" w:cs="Times New Roman"/>
            <w:color w:val="3B3D91"/>
            <w:highlight w:val="lightGray"/>
            <w:u w:val="single"/>
          </w:rPr>
          <w:t>completeness indicators</w:t>
        </w:r>
      </w:hyperlink>
      <w:r w:rsidRPr="00087821">
        <w:rPr>
          <w:rFonts w:ascii="Helvetica" w:eastAsia="Times New Roman" w:hAnsi="Helvetica" w:cs="Times New Roman"/>
          <w:color w:val="292C32"/>
          <w:highlight w:val="lightGray"/>
        </w:rPr>
        <w:t> related to bond liquidity data.</w:t>
      </w:r>
    </w:p>
    <w:p w14:paraId="24C81DF7" w14:textId="77777777" w:rsidR="00BE4C8F" w:rsidRPr="00BE4C8F" w:rsidRDefault="00BE4C8F" w:rsidP="00BE4C8F">
      <w:pPr>
        <w:shd w:val="clear" w:color="auto" w:fill="FFFFFF"/>
        <w:spacing w:before="180"/>
        <w:rPr>
          <w:rFonts w:ascii="Helvetica" w:eastAsia="Times New Roman" w:hAnsi="Helvetica" w:cs="Times New Roman"/>
          <w:color w:val="292C32"/>
        </w:rPr>
      </w:pPr>
      <w:r w:rsidRPr="00BE4C8F">
        <w:rPr>
          <w:rFonts w:ascii="Helvetica" w:eastAsia="Times New Roman" w:hAnsi="Helvetica" w:cs="Times New Roman"/>
          <w:b/>
          <w:bCs/>
          <w:color w:val="242424"/>
        </w:rPr>
        <w:t>Background</w:t>
      </w:r>
    </w:p>
    <w:p w14:paraId="2C324AFF" w14:textId="77777777" w:rsidR="00BE4C8F" w:rsidRPr="00BE4C8F" w:rsidRDefault="00BE4C8F" w:rsidP="00BE4C8F">
      <w:pPr>
        <w:shd w:val="clear" w:color="auto" w:fill="FFFFFF"/>
        <w:spacing w:before="180"/>
        <w:rPr>
          <w:rFonts w:ascii="Helvetica" w:eastAsia="Times New Roman" w:hAnsi="Helvetica" w:cs="Times New Roman"/>
          <w:color w:val="292C32"/>
        </w:rPr>
      </w:pPr>
      <w:r w:rsidRPr="00BE4C8F">
        <w:rPr>
          <w:rFonts w:ascii="Helvetica" w:eastAsia="Times New Roman" w:hAnsi="Helvetica" w:cs="Times New Roman"/>
          <w:color w:val="292C32"/>
        </w:rPr>
        <w:t>MiFID II became applicable on 3 January 2018 introducing, amongst others, pre- and post-trade transparency requirements for equity and non-equity instruments, including for bonds. Post-trade, MiFID II requires real-time publication of the price and quantity of trades in liquid bonds. It is possible to defer the publication of post-trade reports if the instrument does not have a liquid market, or if the transaction size is above large-in-scale thresholds (LIS), or above a size specific to the instrument (SSTI). In order to assist market participants to know whether a bond should be considered as liquid or not, ESMA publishes these quarterly liquidity assessments for bonds.</w:t>
      </w:r>
    </w:p>
    <w:p w14:paraId="2073F04E" w14:textId="77777777" w:rsidR="00BE4C8F" w:rsidRPr="00BE4C8F" w:rsidRDefault="00BE4C8F" w:rsidP="00BE4C8F">
      <w:pPr>
        <w:shd w:val="clear" w:color="auto" w:fill="FFFFFF"/>
        <w:spacing w:before="180"/>
        <w:rPr>
          <w:rFonts w:ascii="Helvetica" w:eastAsia="Times New Roman" w:hAnsi="Helvetica" w:cs="Times New Roman"/>
          <w:color w:val="292C32"/>
        </w:rPr>
      </w:pPr>
      <w:r w:rsidRPr="00BE4C8F">
        <w:rPr>
          <w:rFonts w:ascii="Helvetica" w:eastAsia="Times New Roman" w:hAnsi="Helvetica" w:cs="Times New Roman"/>
          <w:b/>
          <w:bCs/>
          <w:color w:val="242424"/>
        </w:rPr>
        <w:t>Next steps</w:t>
      </w:r>
    </w:p>
    <w:p w14:paraId="1AD6A7BF" w14:textId="77777777" w:rsidR="00BE4C8F" w:rsidRPr="00BE4C8F" w:rsidRDefault="00BE4C8F" w:rsidP="00BE4C8F">
      <w:pPr>
        <w:shd w:val="clear" w:color="auto" w:fill="FFFFFF"/>
        <w:spacing w:before="180"/>
        <w:rPr>
          <w:rFonts w:ascii="Helvetica" w:eastAsia="Times New Roman" w:hAnsi="Helvetica" w:cs="Times New Roman"/>
          <w:color w:val="292C32"/>
        </w:rPr>
      </w:pPr>
      <w:r w:rsidRPr="00BE4C8F">
        <w:rPr>
          <w:rFonts w:ascii="Helvetica" w:eastAsia="Times New Roman" w:hAnsi="Helvetica" w:cs="Times New Roman"/>
          <w:color w:val="292C32"/>
        </w:rPr>
        <w:t>The transparency requirements for bonds deemed liquid today will apply from 16 November 2019 to 15 February 2020. </w:t>
      </w:r>
    </w:p>
    <w:p w14:paraId="615F153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92"/>
    <w:rsid w:val="00087821"/>
    <w:rsid w:val="00453EED"/>
    <w:rsid w:val="00BE080D"/>
    <w:rsid w:val="00BE4C8F"/>
    <w:rsid w:val="00E6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A367B"/>
  <w14:defaultImageDpi w14:val="32767"/>
  <w15:chartTrackingRefBased/>
  <w15:docId w15:val="{C43E0D99-1384-2B48-9D4F-70A81121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4C8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C8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E4C8F"/>
  </w:style>
  <w:style w:type="paragraph" w:styleId="NormalWeb">
    <w:name w:val="Normal (Web)"/>
    <w:basedOn w:val="Normal"/>
    <w:uiPriority w:val="99"/>
    <w:semiHidden/>
    <w:unhideWhenUsed/>
    <w:rsid w:val="00BE4C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E4C8F"/>
    <w:rPr>
      <w:color w:val="0000FF"/>
      <w:u w:val="single"/>
    </w:rPr>
  </w:style>
  <w:style w:type="character" w:customStyle="1" w:styleId="focus">
    <w:name w:val="focus"/>
    <w:basedOn w:val="DefaultParagraphFont"/>
    <w:rsid w:val="00BE4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98901">
      <w:bodyDiv w:val="1"/>
      <w:marLeft w:val="0"/>
      <w:marRight w:val="0"/>
      <w:marTop w:val="0"/>
      <w:marBottom w:val="0"/>
      <w:divBdr>
        <w:top w:val="none" w:sz="0" w:space="0" w:color="auto"/>
        <w:left w:val="none" w:sz="0" w:space="0" w:color="auto"/>
        <w:bottom w:val="none" w:sz="0" w:space="0" w:color="auto"/>
        <w:right w:val="none" w:sz="0" w:space="0" w:color="auto"/>
      </w:divBdr>
      <w:divsChild>
        <w:div w:id="250626897">
          <w:marLeft w:val="0"/>
          <w:marRight w:val="0"/>
          <w:marTop w:val="0"/>
          <w:marBottom w:val="0"/>
          <w:divBdr>
            <w:top w:val="none" w:sz="0" w:space="0" w:color="auto"/>
            <w:left w:val="none" w:sz="0" w:space="0" w:color="auto"/>
            <w:bottom w:val="none" w:sz="0" w:space="0" w:color="auto"/>
            <w:right w:val="none" w:sz="0" w:space="0" w:color="auto"/>
          </w:divBdr>
          <w:divsChild>
            <w:div w:id="1130436256">
              <w:marLeft w:val="0"/>
              <w:marRight w:val="0"/>
              <w:marTop w:val="0"/>
              <w:marBottom w:val="120"/>
              <w:divBdr>
                <w:top w:val="none" w:sz="0" w:space="0" w:color="auto"/>
                <w:left w:val="none" w:sz="0" w:space="0" w:color="auto"/>
                <w:bottom w:val="none" w:sz="0" w:space="0" w:color="auto"/>
                <w:right w:val="none" w:sz="0" w:space="0" w:color="auto"/>
              </w:divBdr>
            </w:div>
            <w:div w:id="323121976">
              <w:marLeft w:val="0"/>
              <w:marRight w:val="0"/>
              <w:marTop w:val="0"/>
              <w:marBottom w:val="0"/>
              <w:divBdr>
                <w:top w:val="none" w:sz="0" w:space="0" w:color="auto"/>
                <w:left w:val="none" w:sz="0" w:space="0" w:color="auto"/>
                <w:bottom w:val="none" w:sz="0" w:space="0" w:color="auto"/>
                <w:right w:val="none" w:sz="0" w:space="0" w:color="auto"/>
              </w:divBdr>
            </w:div>
            <w:div w:id="1598320060">
              <w:marLeft w:val="0"/>
              <w:marRight w:val="0"/>
              <w:marTop w:val="0"/>
              <w:marBottom w:val="0"/>
              <w:divBdr>
                <w:top w:val="none" w:sz="0" w:space="0" w:color="auto"/>
                <w:left w:val="none" w:sz="0" w:space="0" w:color="auto"/>
                <w:bottom w:val="none" w:sz="0" w:space="0" w:color="auto"/>
                <w:right w:val="none" w:sz="0" w:space="0" w:color="auto"/>
              </w:divBdr>
            </w:div>
            <w:div w:id="1894657784">
              <w:marLeft w:val="0"/>
              <w:marRight w:val="0"/>
              <w:marTop w:val="0"/>
              <w:marBottom w:val="600"/>
              <w:divBdr>
                <w:top w:val="none" w:sz="0" w:space="0" w:color="auto"/>
                <w:left w:val="none" w:sz="0" w:space="0" w:color="auto"/>
                <w:bottom w:val="none" w:sz="0" w:space="0" w:color="auto"/>
                <w:right w:val="none" w:sz="0" w:space="0" w:color="auto"/>
              </w:divBdr>
            </w:div>
            <w:div w:id="1137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ers.esma.europa.eu/publication/searchRegister?core=esma_registers_fitrs_nonequities" TargetMode="External"/><Relationship Id="rId3" Type="http://schemas.openxmlformats.org/officeDocument/2006/relationships/webSettings" Target="webSettings.xml"/><Relationship Id="rId7" Type="http://schemas.openxmlformats.org/officeDocument/2006/relationships/hyperlink" Target="https://registers.esma.europa.eu/publication/searchRegister?core=esma_registers_fitrs_fi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gisters.esma.europa.eu/publication/searchRegister?core=esma_registers_fitrs_files" TargetMode="External"/><Relationship Id="rId11" Type="http://schemas.openxmlformats.org/officeDocument/2006/relationships/fontTable" Target="fontTable.xml"/><Relationship Id="rId5" Type="http://schemas.openxmlformats.org/officeDocument/2006/relationships/hyperlink" Target="https://www.esma.europa.eu/press-news/esma-news" TargetMode="External"/><Relationship Id="rId10" Type="http://schemas.openxmlformats.org/officeDocument/2006/relationships/hyperlink" Target="https://www.esma.europa.eu/completeness-indicators" TargetMode="External"/><Relationship Id="rId4" Type="http://schemas.openxmlformats.org/officeDocument/2006/relationships/hyperlink" Target="https://www.esma.europa.eu/press-news/esma-news/mifid-ii-esma-makes-new-bond-liquidity-data-available-5" TargetMode="External"/><Relationship Id="rId9" Type="http://schemas.openxmlformats.org/officeDocument/2006/relationships/hyperlink" Target="https://www.esma.europa.eu/press-news/esma-news/esma-publish-new-data-completeness-indicators-trading-ven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2020-02-21T10:35:00Z</dcterms:created>
  <dcterms:modified xsi:type="dcterms:W3CDTF">2020-03-16T13:59:00Z</dcterms:modified>
</cp:coreProperties>
</file>