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B77C6" w14:textId="77777777" w:rsidR="00697E7B" w:rsidRPr="00697E7B" w:rsidRDefault="00697E7B" w:rsidP="00697E7B">
      <w:pPr>
        <w:shd w:val="clear" w:color="auto" w:fill="FFFFFF"/>
        <w:spacing w:after="100" w:afterAutospacing="1"/>
        <w:outlineLvl w:val="1"/>
        <w:rPr>
          <w:rFonts w:ascii="Helvetica" w:eastAsia="Times New Roman" w:hAnsi="Helvetica" w:cs="Times New Roman"/>
          <w:caps/>
          <w:color w:val="3B3D91"/>
          <w:sz w:val="36"/>
          <w:szCs w:val="36"/>
        </w:rPr>
      </w:pPr>
      <w:r w:rsidRPr="00697E7B">
        <w:rPr>
          <w:rFonts w:ascii="Helvetica" w:eastAsia="Times New Roman" w:hAnsi="Helvetica" w:cs="Times New Roman"/>
          <w:caps/>
          <w:color w:val="3B3D91"/>
          <w:sz w:val="36"/>
          <w:szCs w:val="36"/>
        </w:rPr>
        <w:t>MIFID II: ESMA PUBLISHES DATA FOR THE SYSTEMATIC INTERNALISER CALCULATIONS FOR EQUITY, EQUITY-LIKE INSTRUMENTS AND BONDS</w:t>
      </w:r>
    </w:p>
    <w:p w14:paraId="263ED6E0" w14:textId="77777777" w:rsidR="00697E7B" w:rsidRPr="00697E7B" w:rsidRDefault="00697E7B" w:rsidP="00697E7B">
      <w:pPr>
        <w:shd w:val="clear" w:color="auto" w:fill="FFFFFF"/>
        <w:jc w:val="right"/>
        <w:rPr>
          <w:rFonts w:ascii="Helvetica" w:eastAsia="Times New Roman" w:hAnsi="Helvetica" w:cs="Times New Roman"/>
          <w:color w:val="292C32"/>
          <w:sz w:val="20"/>
          <w:szCs w:val="20"/>
        </w:rPr>
      </w:pPr>
      <w:r w:rsidRPr="00697E7B">
        <w:rPr>
          <w:rFonts w:ascii="Helvetica" w:eastAsia="Times New Roman" w:hAnsi="Helvetica" w:cs="Times New Roman"/>
          <w:color w:val="292C32"/>
          <w:sz w:val="20"/>
          <w:szCs w:val="20"/>
        </w:rPr>
        <w:t>08 November 2019 </w:t>
      </w:r>
    </w:p>
    <w:p w14:paraId="53C6113C" w14:textId="77777777" w:rsidR="00697E7B" w:rsidRPr="00697E7B" w:rsidRDefault="00697E7B" w:rsidP="00697E7B">
      <w:pPr>
        <w:shd w:val="clear" w:color="auto" w:fill="EEEEF0"/>
        <w:rPr>
          <w:rFonts w:ascii="Helvetica" w:eastAsia="Times New Roman" w:hAnsi="Helvetica" w:cs="Times New Roman"/>
          <w:caps/>
          <w:color w:val="3B3D91"/>
        </w:rPr>
      </w:pPr>
      <w:r w:rsidRPr="00697E7B">
        <w:rPr>
          <w:rFonts w:ascii="Helvetica" w:eastAsia="Times New Roman" w:hAnsi="Helvetica" w:cs="Times New Roman"/>
          <w:caps/>
          <w:color w:val="3B3D91"/>
        </w:rPr>
        <w:t>MIFID - SECONDARY MARKETS</w:t>
      </w:r>
    </w:p>
    <w:p w14:paraId="70901E09" w14:textId="77777777" w:rsidR="00697E7B" w:rsidRPr="00697E7B" w:rsidRDefault="00697E7B" w:rsidP="00697E7B">
      <w:pPr>
        <w:shd w:val="clear" w:color="auto" w:fill="EEEEF0"/>
        <w:rPr>
          <w:rFonts w:ascii="Helvetica" w:eastAsia="Times New Roman" w:hAnsi="Helvetica" w:cs="Times New Roman"/>
          <w:caps/>
          <w:color w:val="3B3D91"/>
        </w:rPr>
      </w:pPr>
      <w:r w:rsidRPr="00697E7B">
        <w:rPr>
          <w:rFonts w:ascii="Helvetica" w:eastAsia="Times New Roman" w:hAnsi="Helvetica" w:cs="Times New Roman"/>
          <w:caps/>
          <w:color w:val="3B3D91"/>
        </w:rPr>
        <w:t>MIFID II: TRANSPARENCY CALCULATIONS AND DVC</w:t>
      </w:r>
    </w:p>
    <w:p w14:paraId="63DD270B" w14:textId="77777777" w:rsidR="00697E7B" w:rsidRPr="00697E7B" w:rsidRDefault="00697E7B" w:rsidP="00697E7B">
      <w:pPr>
        <w:shd w:val="clear" w:color="auto" w:fill="FFFFFF"/>
        <w:rPr>
          <w:rFonts w:ascii="Helvetica" w:eastAsia="Times New Roman" w:hAnsi="Helvetica" w:cs="Times New Roman"/>
          <w:color w:val="292C32"/>
        </w:rPr>
      </w:pPr>
      <w:r w:rsidRPr="00697E7B">
        <w:rPr>
          <w:rFonts w:ascii="Helvetica" w:eastAsia="Times New Roman" w:hAnsi="Helvetica" w:cs="Times New Roman"/>
          <w:color w:val="292C32"/>
        </w:rPr>
        <w:t>The European Securities and Markets Authority (ESMA) has published today </w:t>
      </w:r>
      <w:hyperlink r:id="rId4" w:history="1">
        <w:r w:rsidRPr="00697E7B">
          <w:rPr>
            <w:rFonts w:ascii="Helvetica" w:eastAsia="Times New Roman" w:hAnsi="Helvetica" w:cs="Times New Roman"/>
            <w:color w:val="3B3D91"/>
            <w:u w:val="single"/>
          </w:rPr>
          <w:t>data for the systematic internaliser calculations for equity, equity-like instruments and bonds</w:t>
        </w:r>
      </w:hyperlink>
      <w:r w:rsidRPr="00697E7B">
        <w:rPr>
          <w:rFonts w:ascii="Helvetica" w:eastAsia="Times New Roman" w:hAnsi="Helvetica" w:cs="Times New Roman"/>
          <w:color w:val="292C32"/>
        </w:rPr>
        <w:t> under the Markets in Financial Instruments Directive (MiFID II) and Regulation (MiFIR).</w:t>
      </w:r>
    </w:p>
    <w:p w14:paraId="362FC0DD" w14:textId="77777777" w:rsidR="00697E7B" w:rsidRPr="00697E7B" w:rsidRDefault="00697E7B" w:rsidP="00697E7B">
      <w:pPr>
        <w:shd w:val="clear" w:color="auto" w:fill="FFFFFF"/>
        <w:rPr>
          <w:rFonts w:ascii="Helvetica" w:eastAsia="Times New Roman" w:hAnsi="Helvetica" w:cs="Times New Roman"/>
          <w:color w:val="292C32"/>
        </w:rPr>
      </w:pPr>
      <w:r w:rsidRPr="00697E7B">
        <w:rPr>
          <w:rFonts w:ascii="Helvetica" w:eastAsia="Times New Roman" w:hAnsi="Helvetica" w:cs="Times New Roman"/>
          <w:color w:val="292C32"/>
        </w:rPr>
        <w:t>As </w:t>
      </w:r>
      <w:hyperlink r:id="rId5" w:history="1">
        <w:r w:rsidRPr="00697E7B">
          <w:rPr>
            <w:rFonts w:ascii="Helvetica" w:eastAsia="Times New Roman" w:hAnsi="Helvetica" w:cs="Times New Roman"/>
            <w:color w:val="3B3D91"/>
            <w:u w:val="single"/>
          </w:rPr>
          <w:t>announced</w:t>
        </w:r>
      </w:hyperlink>
      <w:r w:rsidRPr="00697E7B">
        <w:rPr>
          <w:rFonts w:ascii="Helvetica" w:eastAsia="Times New Roman" w:hAnsi="Helvetica" w:cs="Times New Roman"/>
          <w:color w:val="292C32"/>
        </w:rPr>
        <w:t> on 30 October 2019, ESMA has published the total number of trades and total volume over the period April-September 2019 for the purpose of the systematic internaliser (SI) calculations for 22,015 equity and equity-like instruments and for 334,610 bonds.</w:t>
      </w:r>
    </w:p>
    <w:p w14:paraId="6106BF64" w14:textId="77777777" w:rsidR="00697E7B" w:rsidRPr="00697E7B" w:rsidRDefault="00697E7B" w:rsidP="00697E7B">
      <w:pPr>
        <w:shd w:val="clear" w:color="auto" w:fill="FFFFFF"/>
        <w:spacing w:before="180"/>
        <w:rPr>
          <w:rFonts w:ascii="Helvetica" w:eastAsia="Times New Roman" w:hAnsi="Helvetica" w:cs="Times New Roman"/>
          <w:color w:val="292C32"/>
        </w:rPr>
      </w:pPr>
      <w:r w:rsidRPr="00697E7B">
        <w:rPr>
          <w:rFonts w:ascii="Helvetica" w:eastAsia="Times New Roman" w:hAnsi="Helvetica" w:cs="Times New Roman"/>
          <w:color w:val="292C32"/>
        </w:rPr>
        <w:t>The results are published only for instruments for which trading venues submitted data for at least 95% of all trading days over the 6-month observation period. The data publications also incorporate OTC trading to the extent it has been reported to ESMA. The publication includes data also for instruments which are no longer available for trading on EU trading venues at the end of December.</w:t>
      </w:r>
    </w:p>
    <w:p w14:paraId="5AE948C0" w14:textId="77777777" w:rsidR="00697E7B" w:rsidRPr="00697E7B" w:rsidRDefault="00697E7B" w:rsidP="00697E7B">
      <w:pPr>
        <w:shd w:val="clear" w:color="auto" w:fill="FFFFFF"/>
        <w:spacing w:before="180"/>
        <w:rPr>
          <w:rFonts w:ascii="Helvetica" w:eastAsia="Times New Roman" w:hAnsi="Helvetica" w:cs="Times New Roman"/>
          <w:color w:val="292C32"/>
        </w:rPr>
      </w:pPr>
      <w:r w:rsidRPr="00697E7B">
        <w:rPr>
          <w:rFonts w:ascii="Helvetica" w:eastAsia="Times New Roman" w:hAnsi="Helvetica" w:cs="Times New Roman"/>
          <w:color w:val="292C32"/>
        </w:rPr>
        <w:t>The publication of the data for the SI calculations for derivatives and other instruments has been delayed until 2020 at the latest, as set out in the updated plan announced by ESMA on </w:t>
      </w:r>
      <w:hyperlink r:id="rId6" w:history="1">
        <w:r w:rsidRPr="00697E7B">
          <w:rPr>
            <w:rFonts w:ascii="Helvetica" w:eastAsia="Times New Roman" w:hAnsi="Helvetica" w:cs="Times New Roman"/>
            <w:color w:val="3B3D91"/>
            <w:u w:val="single"/>
          </w:rPr>
          <w:t>30 January 2019</w:t>
        </w:r>
      </w:hyperlink>
      <w:r w:rsidRPr="00697E7B">
        <w:rPr>
          <w:rFonts w:ascii="Helvetica" w:eastAsia="Times New Roman" w:hAnsi="Helvetica" w:cs="Times New Roman"/>
          <w:color w:val="292C32"/>
        </w:rPr>
        <w:t>. The SI-assessment for those asset classes does not need to be performed until 2020 at the latest.</w:t>
      </w:r>
    </w:p>
    <w:p w14:paraId="4298DD65" w14:textId="77777777" w:rsidR="00697E7B" w:rsidRPr="00697E7B" w:rsidRDefault="00697E7B" w:rsidP="00697E7B">
      <w:pPr>
        <w:shd w:val="clear" w:color="auto" w:fill="FFFFFF"/>
        <w:spacing w:before="180"/>
        <w:rPr>
          <w:rFonts w:ascii="Helvetica" w:eastAsia="Times New Roman" w:hAnsi="Helvetica" w:cs="Times New Roman"/>
          <w:color w:val="292C32"/>
        </w:rPr>
      </w:pPr>
      <w:r w:rsidRPr="00697E7B">
        <w:rPr>
          <w:rFonts w:ascii="Helvetica" w:eastAsia="Times New Roman" w:hAnsi="Helvetica" w:cs="Times New Roman"/>
          <w:b/>
          <w:bCs/>
          <w:color w:val="292C32"/>
        </w:rPr>
        <w:t>Background</w:t>
      </w:r>
    </w:p>
    <w:p w14:paraId="7D7237E4" w14:textId="77777777" w:rsidR="00697E7B" w:rsidRPr="00697E7B" w:rsidRDefault="00697E7B" w:rsidP="00697E7B">
      <w:pPr>
        <w:shd w:val="clear" w:color="auto" w:fill="FFFFFF"/>
        <w:spacing w:before="180"/>
        <w:rPr>
          <w:rFonts w:ascii="Helvetica" w:eastAsia="Times New Roman" w:hAnsi="Helvetica" w:cs="Times New Roman"/>
          <w:color w:val="292C32"/>
        </w:rPr>
      </w:pPr>
      <w:r w:rsidRPr="00697E7B">
        <w:rPr>
          <w:rFonts w:ascii="Helvetica" w:eastAsia="Times New Roman" w:hAnsi="Helvetica" w:cs="Times New Roman"/>
          <w:color w:val="292C32"/>
        </w:rPr>
        <w:t>According to Article 4(1)(20) of Directive 2014/65/EU (MiFID II) investment firms dealing on own account when executing client orders over the counter (OTC) on an organised, frequent systematic and substantial basis are subject to the mandatory SI regime.</w:t>
      </w:r>
    </w:p>
    <w:p w14:paraId="21D71B9E" w14:textId="77777777" w:rsidR="00697E7B" w:rsidRPr="00697E7B" w:rsidRDefault="00697E7B" w:rsidP="00697E7B">
      <w:pPr>
        <w:shd w:val="clear" w:color="auto" w:fill="FFFFFF"/>
        <w:spacing w:before="180"/>
        <w:rPr>
          <w:rFonts w:ascii="Helvetica" w:eastAsia="Times New Roman" w:hAnsi="Helvetica" w:cs="Times New Roman"/>
          <w:color w:val="292C32"/>
        </w:rPr>
      </w:pPr>
      <w:r w:rsidRPr="00697E7B">
        <w:rPr>
          <w:rFonts w:ascii="Helvetica" w:eastAsia="Times New Roman" w:hAnsi="Helvetica" w:cs="Times New Roman"/>
          <w:color w:val="292C32"/>
        </w:rPr>
        <w:t xml:space="preserve">Commission Delegated Regulation (EU) No 2017/565 specifies thresholds determining what constitutes frequent, systematic and substantial OTC trading. In particular, investment firms are required to assess whether they are SIs in a specific instrument (for equity and equity-like instruments, bonds, ETCs and ETNs and SFPs) or for a (sub-) class of instruments (for derivatives, securitised derivatives and emission allowances) on a quarterly basis based on data from the previous six months. For each specific instrument/sub-class, an investment firm is required to compare the trading it undertakes on its own account compared to the total volume and number of transactions executed in the European Union (EU). If the investment firm exceeds the relative thresholds it will be deemed an SI and will have to fulfil the SI-specific obligations. ESMA, upon request of market participants and on a voluntary basis, decided to compute the total volume and number of transactions executed in the EU in </w:t>
      </w:r>
      <w:r w:rsidRPr="00697E7B">
        <w:rPr>
          <w:rFonts w:ascii="Helvetica" w:eastAsia="Times New Roman" w:hAnsi="Helvetica" w:cs="Times New Roman"/>
          <w:color w:val="292C32"/>
        </w:rPr>
        <w:lastRenderedPageBreak/>
        <w:t>order to help market participants in the performance of the test since that data is essential for the operation of the SI regime and is not otherwise easily available.</w:t>
      </w:r>
    </w:p>
    <w:p w14:paraId="66FB4005"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A9"/>
    <w:rsid w:val="00453EED"/>
    <w:rsid w:val="00697E7B"/>
    <w:rsid w:val="00BE080D"/>
    <w:rsid w:val="00DC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FEC98"/>
  <w14:defaultImageDpi w14:val="32767"/>
  <w15:chartTrackingRefBased/>
  <w15:docId w15:val="{7E8E05AC-D3FE-A940-99BB-E50129F1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97E7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E7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97E7B"/>
  </w:style>
  <w:style w:type="paragraph" w:styleId="NormalWeb">
    <w:name w:val="Normal (Web)"/>
    <w:basedOn w:val="Normal"/>
    <w:uiPriority w:val="99"/>
    <w:semiHidden/>
    <w:unhideWhenUsed/>
    <w:rsid w:val="00697E7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97E7B"/>
    <w:rPr>
      <w:color w:val="0000FF"/>
      <w:u w:val="single"/>
    </w:rPr>
  </w:style>
  <w:style w:type="character" w:styleId="Strong">
    <w:name w:val="Strong"/>
    <w:basedOn w:val="DefaultParagraphFont"/>
    <w:uiPriority w:val="22"/>
    <w:qFormat/>
    <w:rsid w:val="00697E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785255">
      <w:bodyDiv w:val="1"/>
      <w:marLeft w:val="0"/>
      <w:marRight w:val="0"/>
      <w:marTop w:val="0"/>
      <w:marBottom w:val="0"/>
      <w:divBdr>
        <w:top w:val="none" w:sz="0" w:space="0" w:color="auto"/>
        <w:left w:val="none" w:sz="0" w:space="0" w:color="auto"/>
        <w:bottom w:val="none" w:sz="0" w:space="0" w:color="auto"/>
        <w:right w:val="none" w:sz="0" w:space="0" w:color="auto"/>
      </w:divBdr>
      <w:divsChild>
        <w:div w:id="2054428204">
          <w:marLeft w:val="0"/>
          <w:marRight w:val="0"/>
          <w:marTop w:val="0"/>
          <w:marBottom w:val="0"/>
          <w:divBdr>
            <w:top w:val="none" w:sz="0" w:space="0" w:color="auto"/>
            <w:left w:val="none" w:sz="0" w:space="0" w:color="auto"/>
            <w:bottom w:val="none" w:sz="0" w:space="0" w:color="auto"/>
            <w:right w:val="none" w:sz="0" w:space="0" w:color="auto"/>
          </w:divBdr>
          <w:divsChild>
            <w:div w:id="96753719">
              <w:marLeft w:val="0"/>
              <w:marRight w:val="0"/>
              <w:marTop w:val="0"/>
              <w:marBottom w:val="120"/>
              <w:divBdr>
                <w:top w:val="none" w:sz="0" w:space="0" w:color="auto"/>
                <w:left w:val="none" w:sz="0" w:space="0" w:color="auto"/>
                <w:bottom w:val="none" w:sz="0" w:space="0" w:color="auto"/>
                <w:right w:val="none" w:sz="0" w:space="0" w:color="auto"/>
              </w:divBdr>
            </w:div>
            <w:div w:id="1630083852">
              <w:marLeft w:val="0"/>
              <w:marRight w:val="0"/>
              <w:marTop w:val="0"/>
              <w:marBottom w:val="0"/>
              <w:divBdr>
                <w:top w:val="none" w:sz="0" w:space="0" w:color="auto"/>
                <w:left w:val="none" w:sz="0" w:space="0" w:color="auto"/>
                <w:bottom w:val="none" w:sz="0" w:space="0" w:color="auto"/>
                <w:right w:val="none" w:sz="0" w:space="0" w:color="auto"/>
              </w:divBdr>
            </w:div>
            <w:div w:id="912156164">
              <w:marLeft w:val="0"/>
              <w:marRight w:val="0"/>
              <w:marTop w:val="0"/>
              <w:marBottom w:val="0"/>
              <w:divBdr>
                <w:top w:val="none" w:sz="0" w:space="0" w:color="auto"/>
                <w:left w:val="none" w:sz="0" w:space="0" w:color="auto"/>
                <w:bottom w:val="none" w:sz="0" w:space="0" w:color="auto"/>
                <w:right w:val="none" w:sz="0" w:space="0" w:color="auto"/>
              </w:divBdr>
            </w:div>
            <w:div w:id="1564442608">
              <w:marLeft w:val="0"/>
              <w:marRight w:val="0"/>
              <w:marTop w:val="0"/>
              <w:marBottom w:val="600"/>
              <w:divBdr>
                <w:top w:val="none" w:sz="0" w:space="0" w:color="auto"/>
                <w:left w:val="none" w:sz="0" w:space="0" w:color="auto"/>
                <w:bottom w:val="none" w:sz="0" w:space="0" w:color="auto"/>
                <w:right w:val="none" w:sz="0" w:space="0" w:color="auto"/>
              </w:divBdr>
            </w:div>
            <w:div w:id="11436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sma.europa.eu/press-news/esma-news/esma-updates-plan-systematic-internaliser-regime-calculations-and-publications" TargetMode="External"/><Relationship Id="rId5" Type="http://schemas.openxmlformats.org/officeDocument/2006/relationships/hyperlink" Target="https://www.esma.europa.eu/press-news/esma-news" TargetMode="External"/><Relationship Id="rId4" Type="http://schemas.openxmlformats.org/officeDocument/2006/relationships/hyperlink" Target="https://www.esma.europa.eu/data-systematic-internaliser-calc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2020-02-21T10:35:00Z</dcterms:created>
  <dcterms:modified xsi:type="dcterms:W3CDTF">2020-02-21T10:48:00Z</dcterms:modified>
</cp:coreProperties>
</file>