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12210" w14:textId="77777777" w:rsidR="004429BF" w:rsidRPr="004429BF" w:rsidRDefault="004429BF" w:rsidP="004429BF">
      <w:pPr>
        <w:shd w:val="clear" w:color="auto" w:fill="FFFFFF"/>
        <w:spacing w:after="100" w:afterAutospacing="1"/>
        <w:outlineLvl w:val="1"/>
        <w:rPr>
          <w:rFonts w:ascii="Helvetica" w:eastAsia="Times New Roman" w:hAnsi="Helvetica" w:cs="Times New Roman"/>
          <w:caps/>
          <w:color w:val="3B3D91"/>
          <w:sz w:val="36"/>
          <w:szCs w:val="36"/>
        </w:rPr>
      </w:pPr>
      <w:r w:rsidRPr="004429BF">
        <w:rPr>
          <w:rFonts w:ascii="Helvetica" w:eastAsia="Times New Roman" w:hAnsi="Helvetica" w:cs="Times New Roman"/>
          <w:caps/>
          <w:color w:val="3B3D91"/>
          <w:sz w:val="36"/>
          <w:szCs w:val="36"/>
        </w:rPr>
        <w:t>STEVEN MAIJOOR DELIVERS KEYNOTE ADDRESS AT EURO FINANCE WEEK</w:t>
      </w:r>
    </w:p>
    <w:p w14:paraId="02248606" w14:textId="77777777" w:rsidR="004429BF" w:rsidRPr="004429BF" w:rsidRDefault="004429BF" w:rsidP="004429BF">
      <w:pPr>
        <w:shd w:val="clear" w:color="auto" w:fill="FFFFFF"/>
        <w:jc w:val="right"/>
        <w:rPr>
          <w:rFonts w:ascii="Helvetica" w:eastAsia="Times New Roman" w:hAnsi="Helvetica" w:cs="Times New Roman"/>
          <w:color w:val="292C32"/>
          <w:sz w:val="20"/>
          <w:szCs w:val="20"/>
        </w:rPr>
      </w:pPr>
      <w:r w:rsidRPr="004429BF">
        <w:rPr>
          <w:rFonts w:ascii="Helvetica" w:eastAsia="Times New Roman" w:hAnsi="Helvetica" w:cs="Times New Roman"/>
          <w:color w:val="292C32"/>
          <w:sz w:val="20"/>
          <w:szCs w:val="20"/>
        </w:rPr>
        <w:t>19 November 2019 </w:t>
      </w:r>
    </w:p>
    <w:p w14:paraId="4E364F39" w14:textId="77777777" w:rsidR="004429BF" w:rsidRPr="004429BF" w:rsidRDefault="004429BF" w:rsidP="004429BF">
      <w:pPr>
        <w:shd w:val="clear" w:color="auto" w:fill="EEEEF0"/>
        <w:rPr>
          <w:rFonts w:ascii="Helvetica" w:eastAsia="Times New Roman" w:hAnsi="Helvetica" w:cs="Times New Roman"/>
          <w:caps/>
          <w:color w:val="3B3D91"/>
        </w:rPr>
      </w:pPr>
      <w:r w:rsidRPr="004429BF">
        <w:rPr>
          <w:rFonts w:ascii="Helvetica" w:eastAsia="Times New Roman" w:hAnsi="Helvetica" w:cs="Times New Roman"/>
          <w:caps/>
          <w:color w:val="3B3D91"/>
        </w:rPr>
        <w:t>MIFID - INVESTOR PROTECTION</w:t>
      </w:r>
    </w:p>
    <w:p w14:paraId="148A1CA6" w14:textId="77777777" w:rsidR="004429BF" w:rsidRPr="004429BF" w:rsidRDefault="004429BF" w:rsidP="004429BF">
      <w:pPr>
        <w:shd w:val="clear" w:color="auto" w:fill="EEEEF0"/>
        <w:rPr>
          <w:rFonts w:ascii="Helvetica" w:eastAsia="Times New Roman" w:hAnsi="Helvetica" w:cs="Times New Roman"/>
          <w:caps/>
          <w:color w:val="3B3D91"/>
        </w:rPr>
      </w:pPr>
      <w:r w:rsidRPr="004429BF">
        <w:rPr>
          <w:rFonts w:ascii="Helvetica" w:eastAsia="Times New Roman" w:hAnsi="Helvetica" w:cs="Times New Roman"/>
          <w:caps/>
          <w:color w:val="3B3D91"/>
        </w:rPr>
        <w:t>MIFID - SECONDARY MARKETS</w:t>
      </w:r>
    </w:p>
    <w:p w14:paraId="1179B5BE" w14:textId="77777777" w:rsidR="004429BF" w:rsidRPr="004429BF" w:rsidRDefault="004429BF" w:rsidP="004429BF">
      <w:pPr>
        <w:shd w:val="clear" w:color="auto" w:fill="EEEEF0"/>
        <w:rPr>
          <w:rFonts w:ascii="Helvetica" w:eastAsia="Times New Roman" w:hAnsi="Helvetica" w:cs="Times New Roman"/>
          <w:caps/>
          <w:color w:val="3B3D91"/>
        </w:rPr>
      </w:pPr>
      <w:r w:rsidRPr="004429BF">
        <w:rPr>
          <w:rFonts w:ascii="Helvetica" w:eastAsia="Times New Roman" w:hAnsi="Helvetica" w:cs="Times New Roman"/>
          <w:caps/>
          <w:color w:val="3B3D91"/>
        </w:rPr>
        <w:t>SPEECHES</w:t>
      </w:r>
    </w:p>
    <w:p w14:paraId="053DFEA9" w14:textId="77777777" w:rsidR="004429BF" w:rsidRPr="00913C8D" w:rsidRDefault="004429BF" w:rsidP="004429BF">
      <w:pPr>
        <w:shd w:val="clear" w:color="auto" w:fill="FFFFFF"/>
        <w:rPr>
          <w:rFonts w:ascii="Helvetica" w:eastAsia="Times New Roman" w:hAnsi="Helvetica" w:cs="Times New Roman"/>
          <w:color w:val="292C32"/>
          <w:highlight w:val="lightGray"/>
        </w:rPr>
      </w:pPr>
      <w:bookmarkStart w:id="0" w:name="_GoBack"/>
      <w:bookmarkEnd w:id="0"/>
      <w:r w:rsidRPr="00913C8D">
        <w:rPr>
          <w:rFonts w:ascii="Helvetica" w:eastAsia="Times New Roman" w:hAnsi="Helvetica" w:cs="Times New Roman"/>
          <w:color w:val="292C32"/>
          <w:highlight w:val="lightGray"/>
        </w:rPr>
        <w:t xml:space="preserve">The Chair of the European Securities and Markets Authority (ESMA), Steven </w:t>
      </w:r>
      <w:proofErr w:type="spellStart"/>
      <w:r w:rsidRPr="00913C8D">
        <w:rPr>
          <w:rFonts w:ascii="Helvetica" w:eastAsia="Times New Roman" w:hAnsi="Helvetica" w:cs="Times New Roman"/>
          <w:color w:val="292C32"/>
          <w:highlight w:val="lightGray"/>
        </w:rPr>
        <w:t>Maijoor</w:t>
      </w:r>
      <w:proofErr w:type="spellEnd"/>
      <w:r w:rsidRPr="00913C8D">
        <w:rPr>
          <w:rFonts w:ascii="Helvetica" w:eastAsia="Times New Roman" w:hAnsi="Helvetica" w:cs="Times New Roman"/>
          <w:color w:val="292C32"/>
          <w:highlight w:val="lightGray"/>
        </w:rPr>
        <w:t>, has delivered the </w:t>
      </w:r>
      <w:hyperlink r:id="rId5" w:history="1">
        <w:r w:rsidRPr="00913C8D">
          <w:rPr>
            <w:rFonts w:ascii="Helvetica" w:eastAsia="Times New Roman" w:hAnsi="Helvetica" w:cs="Times New Roman"/>
            <w:color w:val="3B3D91"/>
            <w:highlight w:val="lightGray"/>
            <w:u w:val="single"/>
          </w:rPr>
          <w:t>keynote address</w:t>
        </w:r>
      </w:hyperlink>
      <w:r w:rsidRPr="00913C8D">
        <w:rPr>
          <w:rFonts w:ascii="Helvetica" w:eastAsia="Times New Roman" w:hAnsi="Helvetica" w:cs="Times New Roman"/>
          <w:color w:val="292C32"/>
          <w:highlight w:val="lightGray"/>
        </w:rPr>
        <w:t> at the beginning of the Governance Risk Management and Compliance Day of Euro Finance Week in Frankfurt.</w:t>
      </w:r>
    </w:p>
    <w:p w14:paraId="365F5B8F" w14:textId="77777777" w:rsidR="004429BF" w:rsidRPr="00913C8D" w:rsidRDefault="004429BF" w:rsidP="004429BF">
      <w:pPr>
        <w:shd w:val="clear" w:color="auto" w:fill="FFFFFF"/>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 xml:space="preserve">In his address </w:t>
      </w:r>
      <w:proofErr w:type="spellStart"/>
      <w:r w:rsidRPr="00913C8D">
        <w:rPr>
          <w:rFonts w:ascii="Helvetica" w:eastAsia="Times New Roman" w:hAnsi="Helvetica" w:cs="Times New Roman"/>
          <w:color w:val="292C32"/>
          <w:highlight w:val="lightGray"/>
        </w:rPr>
        <w:t>Mr</w:t>
      </w:r>
      <w:proofErr w:type="spellEnd"/>
      <w:r w:rsidRPr="00913C8D">
        <w:rPr>
          <w:rFonts w:ascii="Helvetica" w:eastAsia="Times New Roman" w:hAnsi="Helvetica" w:cs="Times New Roman"/>
          <w:color w:val="292C32"/>
          <w:highlight w:val="lightGray"/>
        </w:rPr>
        <w:t xml:space="preserve"> </w:t>
      </w:r>
      <w:proofErr w:type="spellStart"/>
      <w:r w:rsidRPr="00913C8D">
        <w:rPr>
          <w:rFonts w:ascii="Helvetica" w:eastAsia="Times New Roman" w:hAnsi="Helvetica" w:cs="Times New Roman"/>
          <w:color w:val="292C32"/>
          <w:highlight w:val="lightGray"/>
        </w:rPr>
        <w:t>Maijoor</w:t>
      </w:r>
      <w:proofErr w:type="spellEnd"/>
      <w:r w:rsidRPr="00913C8D">
        <w:rPr>
          <w:rFonts w:ascii="Helvetica" w:eastAsia="Times New Roman" w:hAnsi="Helvetica" w:cs="Times New Roman"/>
          <w:color w:val="292C32"/>
          <w:highlight w:val="lightGray"/>
        </w:rPr>
        <w:t xml:space="preserve"> looked back at the implementation of MiFID II highlighting key achievements in both retail and wholesale markets since coming into force in January 2018 such as:</w:t>
      </w:r>
    </w:p>
    <w:p w14:paraId="03483F57" w14:textId="77777777" w:rsidR="004429BF" w:rsidRPr="00913C8D" w:rsidRDefault="004429BF" w:rsidP="004429B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improved transparency in financial markets;</w:t>
      </w:r>
    </w:p>
    <w:p w14:paraId="05B29D8A" w14:textId="77777777" w:rsidR="004429BF" w:rsidRPr="00913C8D" w:rsidRDefault="004429BF" w:rsidP="004429B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the move of trading onto regulated trading venues; </w:t>
      </w:r>
    </w:p>
    <w:p w14:paraId="30525BB4" w14:textId="77777777" w:rsidR="004429BF" w:rsidRPr="00913C8D" w:rsidRDefault="004429BF" w:rsidP="004429B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improved information to clients on the costs of products;</w:t>
      </w:r>
    </w:p>
    <w:p w14:paraId="6294C512" w14:textId="77777777" w:rsidR="004429BF" w:rsidRPr="00913C8D" w:rsidRDefault="004429BF" w:rsidP="004429B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research unbundling; and</w:t>
      </w:r>
    </w:p>
    <w:p w14:paraId="00593971" w14:textId="77777777" w:rsidR="004429BF" w:rsidRPr="00913C8D" w:rsidRDefault="004429BF" w:rsidP="004429BF">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the use of product intervention powers on CFDs and binary options.</w:t>
      </w:r>
    </w:p>
    <w:p w14:paraId="79FD6370" w14:textId="77777777" w:rsidR="004429BF" w:rsidRPr="00913C8D" w:rsidRDefault="004429BF" w:rsidP="004429BF">
      <w:pPr>
        <w:shd w:val="clear" w:color="auto" w:fill="FFFFFF"/>
        <w:spacing w:before="180"/>
        <w:rPr>
          <w:rFonts w:ascii="Helvetica" w:eastAsia="Times New Roman" w:hAnsi="Helvetica" w:cs="Times New Roman"/>
          <w:color w:val="292C32"/>
          <w:highlight w:val="lightGray"/>
        </w:rPr>
      </w:pPr>
      <w:r w:rsidRPr="00913C8D">
        <w:rPr>
          <w:rFonts w:ascii="Helvetica" w:eastAsia="Times New Roman" w:hAnsi="Helvetica" w:cs="Times New Roman"/>
          <w:color w:val="292C32"/>
          <w:highlight w:val="lightGray"/>
        </w:rPr>
        <w:t>​He acknowledged though that while these were positive developments there are also areas where improvements may need to be considered to ensure that MiFID II delivers on its objectives and is applied in a convergent and coherent manner across the European Union.</w:t>
      </w:r>
    </w:p>
    <w:p w14:paraId="08DCB328" w14:textId="77777777" w:rsidR="004429BF" w:rsidRPr="004429BF" w:rsidRDefault="004429BF" w:rsidP="004429BF">
      <w:pPr>
        <w:shd w:val="clear" w:color="auto" w:fill="FFFFFF"/>
        <w:spacing w:before="180"/>
        <w:rPr>
          <w:rFonts w:ascii="Helvetica" w:eastAsia="Times New Roman" w:hAnsi="Helvetica" w:cs="Times New Roman"/>
          <w:color w:val="292C32"/>
        </w:rPr>
      </w:pPr>
      <w:r w:rsidRPr="00913C8D">
        <w:rPr>
          <w:rFonts w:ascii="Helvetica" w:eastAsia="Times New Roman" w:hAnsi="Helvetica" w:cs="Times New Roman"/>
          <w:color w:val="292C32"/>
          <w:highlight w:val="lightGray"/>
        </w:rPr>
        <w:t xml:space="preserve">The speech also </w:t>
      </w:r>
      <w:proofErr w:type="spellStart"/>
      <w:r w:rsidRPr="00913C8D">
        <w:rPr>
          <w:rFonts w:ascii="Helvetica" w:eastAsia="Times New Roman" w:hAnsi="Helvetica" w:cs="Times New Roman"/>
          <w:color w:val="292C32"/>
          <w:highlight w:val="lightGray"/>
        </w:rPr>
        <w:t>highlighed</w:t>
      </w:r>
      <w:proofErr w:type="spellEnd"/>
      <w:r w:rsidRPr="00913C8D">
        <w:rPr>
          <w:rFonts w:ascii="Helvetica" w:eastAsia="Times New Roman" w:hAnsi="Helvetica" w:cs="Times New Roman"/>
          <w:color w:val="292C32"/>
          <w:highlight w:val="lightGray"/>
        </w:rPr>
        <w:t xml:space="preserve"> forthcoming MiFID II related work, aside from its contribution to the many MiFID II follow-up review reports, such as ESMA's contribution to the Commission's report on the disclosure of fees, commissions and non-monetary benefits as well as the report on the mechanism for banning certain products; PRIIPS and the consolidated tape.</w:t>
      </w:r>
    </w:p>
    <w:p w14:paraId="1FF6C1D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D00C9"/>
    <w:multiLevelType w:val="multilevel"/>
    <w:tmpl w:val="B1E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8E"/>
    <w:rsid w:val="004429BF"/>
    <w:rsid w:val="00453EED"/>
    <w:rsid w:val="0081248E"/>
    <w:rsid w:val="00913C8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7DE74"/>
  <w14:defaultImageDpi w14:val="32767"/>
  <w15:chartTrackingRefBased/>
  <w15:docId w15:val="{5DEAC848-7843-F44B-9059-20AA128F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429B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9B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429BF"/>
  </w:style>
  <w:style w:type="paragraph" w:styleId="NormalWeb">
    <w:name w:val="Normal (Web)"/>
    <w:basedOn w:val="Normal"/>
    <w:uiPriority w:val="99"/>
    <w:semiHidden/>
    <w:unhideWhenUsed/>
    <w:rsid w:val="004429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42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58812">
      <w:bodyDiv w:val="1"/>
      <w:marLeft w:val="0"/>
      <w:marRight w:val="0"/>
      <w:marTop w:val="0"/>
      <w:marBottom w:val="0"/>
      <w:divBdr>
        <w:top w:val="none" w:sz="0" w:space="0" w:color="auto"/>
        <w:left w:val="none" w:sz="0" w:space="0" w:color="auto"/>
        <w:bottom w:val="none" w:sz="0" w:space="0" w:color="auto"/>
        <w:right w:val="none" w:sz="0" w:space="0" w:color="auto"/>
      </w:divBdr>
      <w:divsChild>
        <w:div w:id="1968394619">
          <w:marLeft w:val="0"/>
          <w:marRight w:val="0"/>
          <w:marTop w:val="0"/>
          <w:marBottom w:val="0"/>
          <w:divBdr>
            <w:top w:val="none" w:sz="0" w:space="0" w:color="auto"/>
            <w:left w:val="none" w:sz="0" w:space="0" w:color="auto"/>
            <w:bottom w:val="none" w:sz="0" w:space="0" w:color="auto"/>
            <w:right w:val="none" w:sz="0" w:space="0" w:color="auto"/>
          </w:divBdr>
          <w:divsChild>
            <w:div w:id="400177316">
              <w:marLeft w:val="0"/>
              <w:marRight w:val="0"/>
              <w:marTop w:val="0"/>
              <w:marBottom w:val="120"/>
              <w:divBdr>
                <w:top w:val="none" w:sz="0" w:space="0" w:color="auto"/>
                <w:left w:val="none" w:sz="0" w:space="0" w:color="auto"/>
                <w:bottom w:val="none" w:sz="0" w:space="0" w:color="auto"/>
                <w:right w:val="none" w:sz="0" w:space="0" w:color="auto"/>
              </w:divBdr>
            </w:div>
            <w:div w:id="2064057002">
              <w:marLeft w:val="0"/>
              <w:marRight w:val="0"/>
              <w:marTop w:val="0"/>
              <w:marBottom w:val="0"/>
              <w:divBdr>
                <w:top w:val="none" w:sz="0" w:space="0" w:color="auto"/>
                <w:left w:val="none" w:sz="0" w:space="0" w:color="auto"/>
                <w:bottom w:val="none" w:sz="0" w:space="0" w:color="auto"/>
                <w:right w:val="none" w:sz="0" w:space="0" w:color="auto"/>
              </w:divBdr>
            </w:div>
            <w:div w:id="975448493">
              <w:marLeft w:val="0"/>
              <w:marRight w:val="0"/>
              <w:marTop w:val="0"/>
              <w:marBottom w:val="0"/>
              <w:divBdr>
                <w:top w:val="none" w:sz="0" w:space="0" w:color="auto"/>
                <w:left w:val="none" w:sz="0" w:space="0" w:color="auto"/>
                <w:bottom w:val="none" w:sz="0" w:space="0" w:color="auto"/>
                <w:right w:val="none" w:sz="0" w:space="0" w:color="auto"/>
              </w:divBdr>
            </w:div>
            <w:div w:id="1855725514">
              <w:marLeft w:val="0"/>
              <w:marRight w:val="0"/>
              <w:marTop w:val="0"/>
              <w:marBottom w:val="0"/>
              <w:divBdr>
                <w:top w:val="none" w:sz="0" w:space="0" w:color="auto"/>
                <w:left w:val="none" w:sz="0" w:space="0" w:color="auto"/>
                <w:bottom w:val="none" w:sz="0" w:space="0" w:color="auto"/>
                <w:right w:val="none" w:sz="0" w:space="0" w:color="auto"/>
              </w:divBdr>
            </w:div>
            <w:div w:id="709912859">
              <w:marLeft w:val="0"/>
              <w:marRight w:val="0"/>
              <w:marTop w:val="0"/>
              <w:marBottom w:val="600"/>
              <w:divBdr>
                <w:top w:val="none" w:sz="0" w:space="0" w:color="auto"/>
                <w:left w:val="none" w:sz="0" w:space="0" w:color="auto"/>
                <w:bottom w:val="none" w:sz="0" w:space="0" w:color="auto"/>
                <w:right w:val="none" w:sz="0" w:space="0" w:color="auto"/>
              </w:divBdr>
            </w:div>
            <w:div w:id="18350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ma.europa.eu/document/banking-and-mifid-ii-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2020-02-21T10:36:00Z</dcterms:created>
  <dcterms:modified xsi:type="dcterms:W3CDTF">2020-05-11T15:25:00Z</dcterms:modified>
</cp:coreProperties>
</file>