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D2F85" w14:textId="77777777" w:rsidR="00992662" w:rsidRPr="00992662" w:rsidRDefault="00992662" w:rsidP="00992662">
      <w:pPr>
        <w:shd w:val="clear" w:color="auto" w:fill="FFFFFF"/>
        <w:spacing w:after="100" w:afterAutospacing="1"/>
        <w:outlineLvl w:val="1"/>
        <w:rPr>
          <w:rFonts w:ascii="Helvetica" w:eastAsia="Times New Roman" w:hAnsi="Helvetica" w:cs="Times New Roman"/>
          <w:caps/>
          <w:color w:val="3B3D91"/>
          <w:sz w:val="36"/>
          <w:szCs w:val="36"/>
        </w:rPr>
      </w:pPr>
      <w:r w:rsidRPr="00992662">
        <w:rPr>
          <w:rFonts w:ascii="Helvetica" w:eastAsia="Times New Roman" w:hAnsi="Helvetica" w:cs="Times New Roman"/>
          <w:caps/>
          <w:color w:val="3B3D91"/>
          <w:sz w:val="36"/>
          <w:szCs w:val="36"/>
        </w:rPr>
        <w:t>ESMA SEES CONTINUED HIGH MARKET RISK AMID DETERIORATING ECONOMIC FUNDAMENTALS</w:t>
      </w:r>
    </w:p>
    <w:p w14:paraId="5B74DBAE" w14:textId="77777777" w:rsidR="00992662" w:rsidRPr="00992662" w:rsidRDefault="00992662" w:rsidP="00992662">
      <w:pPr>
        <w:shd w:val="clear" w:color="auto" w:fill="FFFFFF"/>
        <w:jc w:val="right"/>
        <w:rPr>
          <w:rFonts w:ascii="Helvetica" w:eastAsia="Times New Roman" w:hAnsi="Helvetica" w:cs="Times New Roman"/>
          <w:color w:val="292C32"/>
          <w:sz w:val="20"/>
          <w:szCs w:val="20"/>
        </w:rPr>
      </w:pPr>
      <w:r w:rsidRPr="00992662">
        <w:rPr>
          <w:rFonts w:ascii="Helvetica" w:eastAsia="Times New Roman" w:hAnsi="Helvetica" w:cs="Times New Roman"/>
          <w:color w:val="292C32"/>
          <w:sz w:val="20"/>
          <w:szCs w:val="20"/>
        </w:rPr>
        <w:t>28 November 2019 </w:t>
      </w:r>
    </w:p>
    <w:p w14:paraId="2D1C7E4D" w14:textId="77777777" w:rsidR="00992662" w:rsidRPr="00992662" w:rsidRDefault="00992662" w:rsidP="00992662">
      <w:pPr>
        <w:shd w:val="clear" w:color="auto" w:fill="EEEEF0"/>
        <w:rPr>
          <w:rFonts w:ascii="Helvetica" w:eastAsia="Times New Roman" w:hAnsi="Helvetica" w:cs="Times New Roman"/>
          <w:caps/>
          <w:color w:val="3B3D91"/>
        </w:rPr>
      </w:pPr>
      <w:r w:rsidRPr="00992662">
        <w:rPr>
          <w:rFonts w:ascii="Helvetica" w:eastAsia="Times New Roman" w:hAnsi="Helvetica" w:cs="Times New Roman"/>
          <w:caps/>
          <w:color w:val="3B3D91"/>
        </w:rPr>
        <w:t>RISK ANALYSIS &amp; ECONOMICS - MARKETS INFRASTRUCTURE INVESTORS</w:t>
      </w:r>
    </w:p>
    <w:p w14:paraId="39260C84" w14:textId="77777777" w:rsidR="00992662" w:rsidRPr="00992662" w:rsidRDefault="00992662" w:rsidP="00992662">
      <w:pPr>
        <w:shd w:val="clear" w:color="auto" w:fill="FFFFFF"/>
        <w:rPr>
          <w:rFonts w:ascii="Helvetica" w:eastAsia="Times New Roman" w:hAnsi="Helvetica" w:cs="Times New Roman"/>
          <w:color w:val="292C32"/>
        </w:rPr>
      </w:pPr>
      <w:r w:rsidRPr="00992662">
        <w:rPr>
          <w:rFonts w:ascii="Helvetica" w:eastAsia="Times New Roman" w:hAnsi="Helvetica" w:cs="Times New Roman"/>
          <w:color w:val="292C32"/>
        </w:rPr>
        <w:t>The European Securities and Markets Authority (ESMA), the EU’s securities regulator, today publishes its latest </w:t>
      </w:r>
      <w:hyperlink r:id="rId4" w:history="1">
        <w:r w:rsidRPr="00992662">
          <w:rPr>
            <w:rFonts w:ascii="Helvetica" w:eastAsia="Times New Roman" w:hAnsi="Helvetica" w:cs="Times New Roman"/>
            <w:color w:val="3B3D91"/>
            <w:u w:val="single"/>
          </w:rPr>
          <w:t>risk dashboard</w:t>
        </w:r>
      </w:hyperlink>
      <w:r w:rsidRPr="00992662">
        <w:rPr>
          <w:rFonts w:ascii="Helvetica" w:eastAsia="Times New Roman" w:hAnsi="Helvetica" w:cs="Times New Roman"/>
          <w:color w:val="292C32"/>
        </w:rPr>
        <w:t> for the European Union’s securities markets, covering the third quarter of 2019. </w:t>
      </w:r>
    </w:p>
    <w:p w14:paraId="03BAF4CE" w14:textId="77777777" w:rsidR="00992662" w:rsidRPr="00992662" w:rsidRDefault="00992662" w:rsidP="00992662">
      <w:pPr>
        <w:shd w:val="clear" w:color="auto" w:fill="FFFFFF"/>
        <w:rPr>
          <w:rFonts w:ascii="Helvetica" w:eastAsia="Times New Roman" w:hAnsi="Helvetica" w:cs="Times New Roman"/>
          <w:color w:val="292C32"/>
        </w:rPr>
      </w:pPr>
      <w:r w:rsidRPr="00992662">
        <w:rPr>
          <w:rFonts w:ascii="Helvetica" w:eastAsia="Times New Roman" w:hAnsi="Helvetica" w:cs="Times New Roman"/>
          <w:color w:val="292C32"/>
        </w:rPr>
        <w:t>The market risks remain very high, against the background of a deteriorating growth outlook, continued uncertainty around Brexit, US-China trade tensions and geopolitical risk. Large intra-day movements confirm that markets remain sensitive to the news flow. </w:t>
      </w:r>
    </w:p>
    <w:p w14:paraId="364E35F0" w14:textId="77777777" w:rsidR="00992662" w:rsidRPr="00992662" w:rsidRDefault="00992662" w:rsidP="00992662">
      <w:pPr>
        <w:shd w:val="clear" w:color="auto" w:fill="FFFFFF"/>
        <w:spacing w:before="180"/>
        <w:rPr>
          <w:rFonts w:ascii="Helvetica" w:eastAsia="Times New Roman" w:hAnsi="Helvetica" w:cs="Times New Roman"/>
          <w:color w:val="292C32"/>
        </w:rPr>
      </w:pPr>
      <w:r w:rsidRPr="00992662">
        <w:rPr>
          <w:rFonts w:ascii="Helvetica" w:eastAsia="Times New Roman" w:hAnsi="Helvetica" w:cs="Times New Roman"/>
          <w:color w:val="292C32"/>
        </w:rPr>
        <w:t>Risks in markets under ESMA’s remit remained high, particularly in securities markets, where high asset valuations and search-for-yield prevail. </w:t>
      </w:r>
    </w:p>
    <w:p w14:paraId="71780D61" w14:textId="77777777" w:rsidR="00992662" w:rsidRPr="00992662" w:rsidRDefault="00992662" w:rsidP="00992662">
      <w:pPr>
        <w:shd w:val="clear" w:color="auto" w:fill="FFFFFF"/>
        <w:spacing w:before="180"/>
        <w:rPr>
          <w:rFonts w:ascii="Helvetica" w:eastAsia="Times New Roman" w:hAnsi="Helvetica" w:cs="Times New Roman"/>
          <w:color w:val="292C32"/>
        </w:rPr>
      </w:pPr>
      <w:r w:rsidRPr="00992662">
        <w:rPr>
          <w:rFonts w:ascii="Helvetica" w:eastAsia="Times New Roman" w:hAnsi="Helvetica" w:cs="Times New Roman"/>
          <w:color w:val="292C32"/>
        </w:rPr>
        <w:t>Credit risk continues to be elevated, with deteriorating corporate debt quality and the growing share of BBB-rated debt as main concerns. </w:t>
      </w:r>
    </w:p>
    <w:p w14:paraId="25A6303C" w14:textId="77777777" w:rsidR="00992662" w:rsidRPr="00992662" w:rsidRDefault="00992662" w:rsidP="00992662">
      <w:pPr>
        <w:shd w:val="clear" w:color="auto" w:fill="FFFFFF"/>
        <w:spacing w:before="180"/>
        <w:rPr>
          <w:rFonts w:ascii="Helvetica" w:eastAsia="Times New Roman" w:hAnsi="Helvetica" w:cs="Times New Roman"/>
          <w:color w:val="292C32"/>
        </w:rPr>
      </w:pPr>
      <w:r w:rsidRPr="00992662">
        <w:rPr>
          <w:rFonts w:ascii="Helvetica" w:eastAsia="Times New Roman" w:hAnsi="Helvetica" w:cs="Times New Roman"/>
          <w:color w:val="292C32"/>
        </w:rPr>
        <w:t>Looking ahead, a weakening economic outlook, further uncertainty over global trade negotiations, as well as uncertainty around the Brexit timeline remain key risk drivers. </w:t>
      </w:r>
    </w:p>
    <w:p w14:paraId="426B99F7" w14:textId="77777777" w:rsidR="00BE080D" w:rsidRDefault="00BE080D">
      <w:bookmarkStart w:id="0" w:name="_GoBack"/>
      <w:bookmarkEnd w:id="0"/>
    </w:p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4AA"/>
    <w:rsid w:val="00453EED"/>
    <w:rsid w:val="00992662"/>
    <w:rsid w:val="00BE080D"/>
    <w:rsid w:val="00F6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572B3"/>
  <w14:defaultImageDpi w14:val="32767"/>
  <w15:chartTrackingRefBased/>
  <w15:docId w15:val="{034F5CAB-6412-B749-86C2-F1C8EC55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266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26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992662"/>
  </w:style>
  <w:style w:type="paragraph" w:styleId="NormalWeb">
    <w:name w:val="Normal (Web)"/>
    <w:basedOn w:val="Normal"/>
    <w:uiPriority w:val="99"/>
    <w:semiHidden/>
    <w:unhideWhenUsed/>
    <w:rsid w:val="009926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926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9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50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31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sma.europa.eu/sites/default/files/library/esma50-165-1009_risk_dashboard_no.4_201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2</cp:revision>
  <dcterms:created xsi:type="dcterms:W3CDTF">2020-02-21T10:37:00Z</dcterms:created>
  <dcterms:modified xsi:type="dcterms:W3CDTF">2020-02-21T10:45:00Z</dcterms:modified>
</cp:coreProperties>
</file>