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29" w:rsidRPr="00703B29" w:rsidRDefault="00703B29" w:rsidP="00703B29">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703B29">
        <w:rPr>
          <w:rFonts w:ascii="Helvetica" w:eastAsia="Times New Roman" w:hAnsi="Helvetica" w:cs="Times New Roman"/>
          <w:b/>
          <w:bCs/>
          <w:color w:val="475562"/>
          <w:kern w:val="36"/>
          <w:sz w:val="48"/>
          <w:szCs w:val="48"/>
          <w:lang w:eastAsia="en-GB"/>
        </w:rPr>
        <w:t>Reflections on 2019 and looking ahead</w:t>
      </w:r>
    </w:p>
    <w:p w:rsidR="00703B29" w:rsidRPr="00703B29" w:rsidRDefault="00703B29" w:rsidP="00703B29">
      <w:pPr>
        <w:shd w:val="clear" w:color="auto" w:fill="3C80AA"/>
        <w:jc w:val="center"/>
        <w:rPr>
          <w:rFonts w:ascii="Helvetica" w:eastAsia="Times New Roman" w:hAnsi="Helvetica" w:cs="Times New Roman"/>
          <w:caps/>
          <w:color w:val="FEFEFE"/>
          <w:lang w:eastAsia="en-GB"/>
        </w:rPr>
      </w:pPr>
      <w:r w:rsidRPr="00703B29">
        <w:rPr>
          <w:rFonts w:ascii="Helvetica" w:eastAsia="Times New Roman" w:hAnsi="Helvetica" w:cs="Times New Roman"/>
          <w:caps/>
          <w:color w:val="FEFEFE"/>
          <w:lang w:eastAsia="en-GB"/>
        </w:rPr>
        <w:t>20 DEC 2019</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The ETF </w:t>
      </w:r>
      <w:hyperlink r:id="rId4" w:history="1">
        <w:r w:rsidRPr="00703B29">
          <w:rPr>
            <w:rFonts w:ascii="Helvetica" w:eastAsia="Times New Roman" w:hAnsi="Helvetica" w:cs="Times New Roman"/>
            <w:b/>
            <w:bCs/>
            <w:color w:val="3C80AA"/>
            <w:u w:val="single"/>
            <w:lang w:eastAsia="en-GB"/>
          </w:rPr>
          <w:t>celebrated its 25</w:t>
        </w:r>
        <w:r w:rsidRPr="00703B29">
          <w:rPr>
            <w:rFonts w:ascii="Helvetica" w:eastAsia="Times New Roman" w:hAnsi="Helvetica" w:cs="Times New Roman"/>
            <w:b/>
            <w:bCs/>
            <w:color w:val="3C80AA"/>
            <w:sz w:val="18"/>
            <w:szCs w:val="18"/>
            <w:u w:val="single"/>
            <w:vertAlign w:val="superscript"/>
            <w:lang w:eastAsia="en-GB"/>
          </w:rPr>
          <w:t>th</w:t>
        </w:r>
        <w:r w:rsidRPr="00703B29">
          <w:rPr>
            <w:rFonts w:ascii="Helvetica" w:eastAsia="Times New Roman" w:hAnsi="Helvetica" w:cs="Times New Roman"/>
            <w:b/>
            <w:bCs/>
            <w:color w:val="3C80AA"/>
            <w:u w:val="single"/>
            <w:lang w:eastAsia="en-GB"/>
          </w:rPr>
          <w:t> birthday</w:t>
        </w:r>
      </w:hyperlink>
      <w:r w:rsidRPr="00703B29">
        <w:rPr>
          <w:rFonts w:ascii="Helvetica" w:eastAsia="Times New Roman" w:hAnsi="Helvetica" w:cs="Times New Roman"/>
          <w:color w:val="475562"/>
          <w:lang w:eastAsia="en-GB"/>
        </w:rPr>
        <w:t> this year supporting activities in our partner countries, undertaking pertinent thematic studies and hosting topical events, not least our conference of the year ‘</w:t>
      </w:r>
      <w:hyperlink r:id="rId5" w:history="1">
        <w:r w:rsidRPr="00703B29">
          <w:rPr>
            <w:rFonts w:ascii="Helvetica" w:eastAsia="Times New Roman" w:hAnsi="Helvetica" w:cs="Times New Roman"/>
            <w:b/>
            <w:bCs/>
            <w:color w:val="3C80AA"/>
            <w:lang w:eastAsia="en-GB"/>
          </w:rPr>
          <w:t>Skills and Qualifications: Benefits for People</w:t>
        </w:r>
      </w:hyperlink>
      <w:r w:rsidRPr="00703B29">
        <w:rPr>
          <w:rFonts w:ascii="Helvetica" w:eastAsia="Times New Roman" w:hAnsi="Helvetica" w:cs="Times New Roman"/>
          <w:color w:val="475562"/>
          <w:lang w:eastAsia="en-GB"/>
        </w:rPr>
        <w:t>’ in November showcasing excellence from our partner countries. It has been a critical year too, in preparing for our future work and the new ETF Strategy 2027.</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The European Vocational Skills Week in Helsinki in October gave recognition to two </w:t>
      </w:r>
      <w:hyperlink r:id="rId6" w:history="1">
        <w:r w:rsidRPr="00703B29">
          <w:rPr>
            <w:rFonts w:ascii="Helvetica" w:eastAsia="Times New Roman" w:hAnsi="Helvetica" w:cs="Times New Roman"/>
            <w:b/>
            <w:bCs/>
            <w:color w:val="3C80AA"/>
            <w:u w:val="single"/>
            <w:lang w:eastAsia="en-GB"/>
          </w:rPr>
          <w:t>outstanding practices from Egypt and Azerbaijan</w:t>
        </w:r>
      </w:hyperlink>
      <w:r w:rsidRPr="00703B29">
        <w:rPr>
          <w:rFonts w:ascii="Helvetica" w:eastAsia="Times New Roman" w:hAnsi="Helvetica" w:cs="Times New Roman"/>
          <w:color w:val="475562"/>
          <w:lang w:eastAsia="en-GB"/>
        </w:rPr>
        <w:t> conferring the ETF Entrepreneurship Award, and provided a perfect venue to bring together the ETF’s friends and partners to </w:t>
      </w:r>
      <w:hyperlink r:id="rId7" w:history="1">
        <w:r w:rsidRPr="00703B29">
          <w:rPr>
            <w:rFonts w:ascii="Helvetica" w:eastAsia="Times New Roman" w:hAnsi="Helvetica" w:cs="Times New Roman"/>
            <w:b/>
            <w:bCs/>
            <w:color w:val="3C80AA"/>
            <w:u w:val="single"/>
            <w:lang w:eastAsia="en-GB"/>
          </w:rPr>
          <w:t>toast our achievements</w:t>
        </w:r>
      </w:hyperlink>
      <w:r w:rsidRPr="00703B29">
        <w:rPr>
          <w:rFonts w:ascii="Helvetica" w:eastAsia="Times New Roman" w:hAnsi="Helvetica" w:cs="Times New Roman"/>
          <w:color w:val="475562"/>
          <w:lang w:eastAsia="en-GB"/>
        </w:rPr>
        <w:t>.  And a later high-level panel organised by the ETF in Brussels in November examined the </w:t>
      </w:r>
      <w:hyperlink r:id="rId8" w:history="1">
        <w:r w:rsidRPr="00703B29">
          <w:rPr>
            <w:rFonts w:ascii="Helvetica" w:eastAsia="Times New Roman" w:hAnsi="Helvetica" w:cs="Times New Roman"/>
            <w:b/>
            <w:bCs/>
            <w:color w:val="3C80AA"/>
            <w:u w:val="single"/>
            <w:lang w:eastAsia="en-GB"/>
          </w:rPr>
          <w:t>power of skills in European external relations</w:t>
        </w:r>
      </w:hyperlink>
      <w:r w:rsidRPr="00703B29">
        <w:rPr>
          <w:rFonts w:ascii="Helvetica" w:eastAsia="Times New Roman" w:hAnsi="Helvetica" w:cs="Times New Roman"/>
          <w:color w:val="475562"/>
          <w:lang w:eastAsia="en-GB"/>
        </w:rPr>
        <w:t>.  </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This year also marked the tenth anniversary of the Eastern Partnership throughout which the ETF has increased its </w:t>
      </w:r>
      <w:hyperlink r:id="rId9" w:history="1">
        <w:r w:rsidRPr="00703B29">
          <w:rPr>
            <w:rFonts w:ascii="Helvetica" w:eastAsia="Times New Roman" w:hAnsi="Helvetica" w:cs="Times New Roman"/>
            <w:b/>
            <w:bCs/>
            <w:color w:val="3C80AA"/>
            <w:u w:val="single"/>
            <w:lang w:eastAsia="en-GB"/>
          </w:rPr>
          <w:t>support to the European Commission</w:t>
        </w:r>
      </w:hyperlink>
      <w:r w:rsidRPr="00703B29">
        <w:rPr>
          <w:rFonts w:ascii="Helvetica" w:eastAsia="Times New Roman" w:hAnsi="Helvetica" w:cs="Times New Roman"/>
          <w:b/>
          <w:bCs/>
          <w:color w:val="475562"/>
          <w:lang w:eastAsia="en-GB"/>
        </w:rPr>
        <w:t> </w:t>
      </w:r>
      <w:r w:rsidRPr="00703B29">
        <w:rPr>
          <w:rFonts w:ascii="Helvetica" w:eastAsia="Times New Roman" w:hAnsi="Helvetica" w:cs="Times New Roman"/>
          <w:color w:val="475562"/>
          <w:lang w:eastAsia="en-GB"/>
        </w:rPr>
        <w:t>and External Action Service, as in all ETF partner regions, enhancing human capital development. In 2019, dissemination of the findings of the </w:t>
      </w:r>
      <w:hyperlink r:id="rId10" w:history="1">
        <w:r w:rsidRPr="00703B29">
          <w:rPr>
            <w:rFonts w:ascii="Helvetica" w:eastAsia="Times New Roman" w:hAnsi="Helvetica" w:cs="Times New Roman"/>
            <w:b/>
            <w:bCs/>
            <w:color w:val="3C80AA"/>
            <w:u w:val="single"/>
            <w:lang w:eastAsia="en-GB"/>
          </w:rPr>
          <w:t>fifth round of the Torino Process</w:t>
        </w:r>
      </w:hyperlink>
      <w:r w:rsidRPr="00703B29">
        <w:rPr>
          <w:rFonts w:ascii="Helvetica" w:eastAsia="Times New Roman" w:hAnsi="Helvetica" w:cs="Times New Roman"/>
          <w:color w:val="475562"/>
          <w:lang w:eastAsia="en-GB"/>
        </w:rPr>
        <w:t>, assessing progress of vocational education systems and future planning at national level, got underway. We also actively supported partner countries entries from different regions to the </w:t>
      </w:r>
      <w:hyperlink r:id="rId11" w:history="1">
        <w:r w:rsidRPr="00703B29">
          <w:rPr>
            <w:rFonts w:ascii="Helvetica" w:eastAsia="Times New Roman" w:hAnsi="Helvetica" w:cs="Times New Roman"/>
            <w:b/>
            <w:bCs/>
            <w:color w:val="3C80AA"/>
            <w:u w:val="single"/>
            <w:lang w:eastAsia="en-GB"/>
          </w:rPr>
          <w:t>World Skills event</w:t>
        </w:r>
      </w:hyperlink>
      <w:r w:rsidRPr="00703B29">
        <w:rPr>
          <w:rFonts w:ascii="Helvetica" w:eastAsia="Times New Roman" w:hAnsi="Helvetica" w:cs="Times New Roman"/>
          <w:color w:val="475562"/>
          <w:lang w:eastAsia="en-GB"/>
        </w:rPr>
        <w:t> in Russia in August.</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Cooperation was ongoing at all levels, with stakeholders at local and national levels and engagement with bilateral and international donors such as the International Labour Organisation, the Asian Development Bank and </w:t>
      </w:r>
      <w:hyperlink r:id="rId12" w:history="1">
        <w:r w:rsidRPr="00703B29">
          <w:rPr>
            <w:rFonts w:ascii="Helvetica" w:eastAsia="Times New Roman" w:hAnsi="Helvetica" w:cs="Times New Roman"/>
            <w:b/>
            <w:bCs/>
            <w:color w:val="3C80AA"/>
            <w:u w:val="single"/>
            <w:lang w:eastAsia="en-GB"/>
          </w:rPr>
          <w:t>our host city, Turin</w:t>
        </w:r>
      </w:hyperlink>
      <w:r w:rsidRPr="00703B29">
        <w:rPr>
          <w:rFonts w:ascii="Helvetica" w:eastAsia="Times New Roman" w:hAnsi="Helvetica" w:cs="Times New Roman"/>
          <w:color w:val="475562"/>
          <w:lang w:eastAsia="en-GB"/>
        </w:rPr>
        <w:t>, to enhance our networks and ensure knowledge dissemination and exchange. Moreover, new agreements were signed with the </w:t>
      </w:r>
      <w:hyperlink r:id="rId13" w:history="1">
        <w:r w:rsidRPr="00703B29">
          <w:rPr>
            <w:rFonts w:ascii="Helvetica" w:eastAsia="Times New Roman" w:hAnsi="Helvetica" w:cs="Times New Roman"/>
            <w:b/>
            <w:bCs/>
            <w:color w:val="3C80AA"/>
            <w:u w:val="single"/>
            <w:lang w:eastAsia="en-GB"/>
          </w:rPr>
          <w:t>Belgian Development Agency</w:t>
        </w:r>
      </w:hyperlink>
      <w:r w:rsidRPr="00703B29">
        <w:rPr>
          <w:rFonts w:ascii="Helvetica" w:eastAsia="Times New Roman" w:hAnsi="Helvetica" w:cs="Times New Roman"/>
          <w:color w:val="475562"/>
          <w:lang w:eastAsia="en-GB"/>
        </w:rPr>
        <w:t> and the </w:t>
      </w:r>
      <w:hyperlink r:id="rId14" w:history="1">
        <w:r w:rsidRPr="00703B29">
          <w:rPr>
            <w:rFonts w:ascii="Helvetica" w:eastAsia="Times New Roman" w:hAnsi="Helvetica" w:cs="Times New Roman"/>
            <w:b/>
            <w:bCs/>
            <w:color w:val="3C80AA"/>
            <w:u w:val="single"/>
            <w:lang w:eastAsia="en-GB"/>
          </w:rPr>
          <w:t>Western Balkans 6 Chamber Investment Forum</w:t>
        </w:r>
      </w:hyperlink>
      <w:r w:rsidRPr="00703B29">
        <w:rPr>
          <w:rFonts w:ascii="Helvetica" w:eastAsia="Times New Roman" w:hAnsi="Helvetica" w:cs="Times New Roman"/>
          <w:color w:val="475562"/>
          <w:lang w:eastAsia="en-GB"/>
        </w:rPr>
        <w:t>.</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hyperlink r:id="rId15" w:history="1">
        <w:r w:rsidRPr="00703B29">
          <w:rPr>
            <w:rFonts w:ascii="Helvetica" w:eastAsia="Times New Roman" w:hAnsi="Helvetica" w:cs="Times New Roman"/>
            <w:b/>
            <w:bCs/>
            <w:color w:val="3C80AA"/>
            <w:u w:val="single"/>
            <w:lang w:eastAsia="en-GB"/>
          </w:rPr>
          <w:t>Promoting public private partnerships</w:t>
        </w:r>
      </w:hyperlink>
      <w:r w:rsidRPr="00703B29">
        <w:rPr>
          <w:rFonts w:ascii="Helvetica" w:eastAsia="Times New Roman" w:hAnsi="Helvetica" w:cs="Times New Roman"/>
          <w:color w:val="475562"/>
          <w:lang w:eastAsia="en-GB"/>
        </w:rPr>
        <w:t> for skills development has been high on the ETF agenda. Success factors were explored in a Brussels workshop in December. Regional gatherings at the </w:t>
      </w:r>
      <w:hyperlink r:id="rId16" w:history="1">
        <w:r w:rsidRPr="00703B29">
          <w:rPr>
            <w:rFonts w:ascii="Helvetica" w:eastAsia="Times New Roman" w:hAnsi="Helvetica" w:cs="Times New Roman"/>
            <w:b/>
            <w:bCs/>
            <w:color w:val="3C80AA"/>
            <w:u w:val="single"/>
            <w:lang w:eastAsia="en-GB"/>
          </w:rPr>
          <w:t>European Alliance for Apprenticeships fourth regional seminar</w:t>
        </w:r>
      </w:hyperlink>
      <w:r w:rsidRPr="00703B29">
        <w:rPr>
          <w:rFonts w:ascii="Helvetica" w:eastAsia="Times New Roman" w:hAnsi="Helvetica" w:cs="Times New Roman"/>
          <w:color w:val="475562"/>
          <w:lang w:eastAsia="en-GB"/>
        </w:rPr>
        <w:t> for candidate countries in Skopje, North Macedonia in September, and the second </w:t>
      </w:r>
      <w:hyperlink r:id="rId17" w:history="1">
        <w:r w:rsidRPr="00703B29">
          <w:rPr>
            <w:rFonts w:ascii="Helvetica" w:eastAsia="Times New Roman" w:hAnsi="Helvetica" w:cs="Times New Roman"/>
            <w:b/>
            <w:bCs/>
            <w:color w:val="3C80AA"/>
            <w:u w:val="single"/>
            <w:lang w:eastAsia="en-GB"/>
          </w:rPr>
          <w:t>Eastern Partnership Forum</w:t>
        </w:r>
      </w:hyperlink>
      <w:r w:rsidRPr="00703B29">
        <w:rPr>
          <w:rFonts w:ascii="Helvetica" w:eastAsia="Times New Roman" w:hAnsi="Helvetica" w:cs="Times New Roman"/>
          <w:color w:val="475562"/>
          <w:lang w:eastAsia="en-GB"/>
        </w:rPr>
        <w:t> on work-based learning in Lviv, Ukraine in October focused on work-based learning, and getting small and medium-sized enterprises on board. In addition, the ETF supported the </w:t>
      </w:r>
      <w:hyperlink r:id="rId18" w:history="1">
        <w:r w:rsidRPr="00703B29">
          <w:rPr>
            <w:rFonts w:ascii="Helvetica" w:eastAsia="Times New Roman" w:hAnsi="Helvetica" w:cs="Times New Roman"/>
            <w:b/>
            <w:bCs/>
            <w:color w:val="3C80AA"/>
            <w:u w:val="single"/>
            <w:lang w:eastAsia="en-GB"/>
          </w:rPr>
          <w:t>Union for the Mediterranean</w:t>
        </w:r>
      </w:hyperlink>
      <w:r w:rsidRPr="00703B29">
        <w:rPr>
          <w:rFonts w:ascii="Helvetica" w:eastAsia="Times New Roman" w:hAnsi="Helvetica" w:cs="Times New Roman"/>
          <w:color w:val="475562"/>
          <w:lang w:eastAsia="en-GB"/>
        </w:rPr>
        <w:t> at a workshop in Turin bringing together a wide range of of stakeholders to examine the challenges of future work and skills needs. </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Our social media, the launch of the ETF’s new virtual platform, </w:t>
      </w:r>
      <w:hyperlink r:id="rId19" w:history="1">
        <w:r w:rsidRPr="00703B29">
          <w:rPr>
            <w:rFonts w:ascii="Helvetica" w:eastAsia="Times New Roman" w:hAnsi="Helvetica" w:cs="Times New Roman"/>
            <w:b/>
            <w:bCs/>
            <w:color w:val="3C80AA"/>
            <w:u w:val="single"/>
            <w:lang w:eastAsia="en-GB"/>
          </w:rPr>
          <w:t>OpenSpace</w:t>
        </w:r>
      </w:hyperlink>
      <w:r w:rsidRPr="00703B29">
        <w:rPr>
          <w:rFonts w:ascii="Helvetica" w:eastAsia="Times New Roman" w:hAnsi="Helvetica" w:cs="Times New Roman"/>
          <w:color w:val="475562"/>
          <w:lang w:eastAsia="en-GB"/>
        </w:rPr>
        <w:t>, and Facebook live interviews, brought real-time coverage to our audiences on the breadth and depth of human capital development and perspectives from various stakeholders from the public, private and civic spheres at both national and international level. </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lastRenderedPageBreak/>
        <w:t>Preparation for the new ETF strategic era has been intensifying throughout the year and will continue in 2020. Our focus is delivering on the 2030 Sustainable Development Agenda and the EU’s external relations priorities to foster skilled and inclusive societies to promote stability, prosperity and social cohesion in our partner countries. </w:t>
      </w:r>
    </w:p>
    <w:p w:rsidR="00703B29" w:rsidRPr="00703B29" w:rsidRDefault="00703B29" w:rsidP="00703B29">
      <w:pPr>
        <w:shd w:val="clear" w:color="auto" w:fill="FEFEFE"/>
        <w:spacing w:before="100" w:beforeAutospacing="1" w:after="100" w:afterAutospacing="1"/>
        <w:rPr>
          <w:rFonts w:ascii="Helvetica" w:eastAsia="Times New Roman" w:hAnsi="Helvetica" w:cs="Times New Roman"/>
          <w:color w:val="475562"/>
          <w:lang w:eastAsia="en-GB"/>
        </w:rPr>
      </w:pPr>
      <w:r w:rsidRPr="00703B29">
        <w:rPr>
          <w:rFonts w:ascii="Helvetica" w:eastAsia="Times New Roman" w:hAnsi="Helvetica" w:cs="Times New Roman"/>
          <w:color w:val="475562"/>
          <w:lang w:eastAsia="en-GB"/>
        </w:rPr>
        <w:t>Thank you for making this journey with us and we look forward to your continued cooperation in 2020!</w:t>
      </w:r>
    </w:p>
    <w:p w:rsidR="00C15360" w:rsidRDefault="00C15360">
      <w:bookmarkStart w:id="0" w:name="_GoBack"/>
      <w:bookmarkEnd w:id="0"/>
    </w:p>
    <w:sectPr w:rsidR="00C1536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60"/>
    <w:rsid w:val="002D60FD"/>
    <w:rsid w:val="00703B29"/>
    <w:rsid w:val="00C153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EE34D9-ED12-7A45-9873-501F47BB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B2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2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03B2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03B29"/>
    <w:rPr>
      <w:b/>
      <w:bCs/>
    </w:rPr>
  </w:style>
  <w:style w:type="character" w:styleId="Hyperlink">
    <w:name w:val="Hyperlink"/>
    <w:basedOn w:val="DefaultParagraphFont"/>
    <w:uiPriority w:val="99"/>
    <w:semiHidden/>
    <w:unhideWhenUsed/>
    <w:rsid w:val="00703B29"/>
    <w:rPr>
      <w:color w:val="0000FF"/>
      <w:u w:val="single"/>
    </w:rPr>
  </w:style>
  <w:style w:type="character" w:customStyle="1" w:styleId="apple-converted-space">
    <w:name w:val="apple-converted-space"/>
    <w:basedOn w:val="DefaultParagraphFont"/>
    <w:rsid w:val="0070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820935">
      <w:bodyDiv w:val="1"/>
      <w:marLeft w:val="0"/>
      <w:marRight w:val="0"/>
      <w:marTop w:val="0"/>
      <w:marBottom w:val="0"/>
      <w:divBdr>
        <w:top w:val="none" w:sz="0" w:space="0" w:color="auto"/>
        <w:left w:val="none" w:sz="0" w:space="0" w:color="auto"/>
        <w:bottom w:val="none" w:sz="0" w:space="0" w:color="auto"/>
        <w:right w:val="none" w:sz="0" w:space="0" w:color="auto"/>
      </w:divBdr>
      <w:divsChild>
        <w:div w:id="171530674">
          <w:marLeft w:val="0"/>
          <w:marRight w:val="0"/>
          <w:marTop w:val="0"/>
          <w:marBottom w:val="0"/>
          <w:divBdr>
            <w:top w:val="none" w:sz="0" w:space="0" w:color="auto"/>
            <w:left w:val="none" w:sz="0" w:space="0" w:color="auto"/>
            <w:bottom w:val="none" w:sz="0" w:space="0" w:color="auto"/>
            <w:right w:val="none" w:sz="0" w:space="0" w:color="auto"/>
          </w:divBdr>
          <w:divsChild>
            <w:div w:id="580333345">
              <w:marLeft w:val="0"/>
              <w:marRight w:val="0"/>
              <w:marTop w:val="0"/>
              <w:marBottom w:val="0"/>
              <w:divBdr>
                <w:top w:val="none" w:sz="0" w:space="0" w:color="auto"/>
                <w:left w:val="none" w:sz="0" w:space="0" w:color="auto"/>
                <w:bottom w:val="none" w:sz="0" w:space="0" w:color="auto"/>
                <w:right w:val="none" w:sz="0" w:space="0" w:color="auto"/>
              </w:divBdr>
              <w:divsChild>
                <w:div w:id="11316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6237">
          <w:marLeft w:val="0"/>
          <w:marRight w:val="0"/>
          <w:marTop w:val="0"/>
          <w:marBottom w:val="0"/>
          <w:divBdr>
            <w:top w:val="none" w:sz="0" w:space="0" w:color="auto"/>
            <w:left w:val="none" w:sz="0" w:space="0" w:color="auto"/>
            <w:bottom w:val="none" w:sz="0" w:space="0" w:color="auto"/>
            <w:right w:val="none" w:sz="0" w:space="0" w:color="auto"/>
          </w:divBdr>
          <w:divsChild>
            <w:div w:id="635989802">
              <w:marLeft w:val="0"/>
              <w:marRight w:val="0"/>
              <w:marTop w:val="0"/>
              <w:marBottom w:val="0"/>
              <w:divBdr>
                <w:top w:val="none" w:sz="0" w:space="0" w:color="auto"/>
                <w:left w:val="none" w:sz="0" w:space="0" w:color="auto"/>
                <w:bottom w:val="none" w:sz="0" w:space="0" w:color="auto"/>
                <w:right w:val="none" w:sz="0" w:space="0" w:color="auto"/>
              </w:divBdr>
            </w:div>
          </w:divsChild>
        </w:div>
        <w:div w:id="29234804">
          <w:marLeft w:val="0"/>
          <w:marRight w:val="0"/>
          <w:marTop w:val="0"/>
          <w:marBottom w:val="0"/>
          <w:divBdr>
            <w:top w:val="none" w:sz="0" w:space="0" w:color="auto"/>
            <w:left w:val="none" w:sz="0" w:space="0" w:color="auto"/>
            <w:bottom w:val="none" w:sz="0" w:space="0" w:color="auto"/>
            <w:right w:val="none" w:sz="0" w:space="0" w:color="auto"/>
          </w:divBdr>
          <w:divsChild>
            <w:div w:id="691998060">
              <w:marLeft w:val="0"/>
              <w:marRight w:val="0"/>
              <w:marTop w:val="0"/>
              <w:marBottom w:val="0"/>
              <w:divBdr>
                <w:top w:val="none" w:sz="0" w:space="0" w:color="auto"/>
                <w:left w:val="none" w:sz="0" w:space="0" w:color="auto"/>
                <w:bottom w:val="none" w:sz="0" w:space="0" w:color="auto"/>
                <w:right w:val="none" w:sz="0" w:space="0" w:color="auto"/>
              </w:divBdr>
              <w:divsChild>
                <w:div w:id="872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f.europa.eu/en/news-and-events/news/high-level-panel-power-skills-eu-external-relations" TargetMode="External"/><Relationship Id="rId13" Type="http://schemas.openxmlformats.org/officeDocument/2006/relationships/hyperlink" Target="https://www.etf.europa.eu/en/news-and-events/news/joining-efforts-field-human-capital-development" TargetMode="External"/><Relationship Id="rId18" Type="http://schemas.openxmlformats.org/officeDocument/2006/relationships/hyperlink" Target="https://www.etf.europa.eu/en/news-and-events/news/skills-future-jobs-mediterranea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tf.europa.eu/en/news-and-events/news/celebrating-25-years-etf-european-vocational-skills-week" TargetMode="External"/><Relationship Id="rId12" Type="http://schemas.openxmlformats.org/officeDocument/2006/relationships/hyperlink" Target="https://www.etf.europa.eu/en/news-and-events/news/torino-skills-city-0" TargetMode="External"/><Relationship Id="rId17" Type="http://schemas.openxmlformats.org/officeDocument/2006/relationships/hyperlink" Target="https://www.etf.europa.eu/en/news-and-events/news/quality-assurance-key-work-based-learning" TargetMode="External"/><Relationship Id="rId2" Type="http://schemas.openxmlformats.org/officeDocument/2006/relationships/settings" Target="settings.xml"/><Relationship Id="rId16" Type="http://schemas.openxmlformats.org/officeDocument/2006/relationships/hyperlink" Target="https://www.etf.europa.eu/en/news-and-events/news/european-alliance-apprenticeships-4th-regional-seminar-candidate-countri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tf.europa.eu/en/news-and-events/news/great-practices-feature-european-vocational-skills-week" TargetMode="External"/><Relationship Id="rId11" Type="http://schemas.openxmlformats.org/officeDocument/2006/relationships/hyperlink" Target="https://www.etf.europa.eu/en/news-and-events/news/eu-neighbours-taking-centre-stage-worldskills" TargetMode="External"/><Relationship Id="rId5" Type="http://schemas.openxmlformats.org/officeDocument/2006/relationships/hyperlink" Target="https://www.etf.europa.eu/en/news-and-events/news/conclusions-etfs-conference-year" TargetMode="External"/><Relationship Id="rId15" Type="http://schemas.openxmlformats.org/officeDocument/2006/relationships/hyperlink" Target="https://www.etf.europa.eu/en/news-and-events/news/public-private-partnerships-success-factor-skills-development" TargetMode="External"/><Relationship Id="rId10" Type="http://schemas.openxmlformats.org/officeDocument/2006/relationships/hyperlink" Target="https://www.etf.europa.eu/en/practice-areas/policy-analysis-and-progress-monitoring" TargetMode="External"/><Relationship Id="rId19" Type="http://schemas.openxmlformats.org/officeDocument/2006/relationships/hyperlink" Target="https://openspace.etf.europa.eu/etf-open-space" TargetMode="External"/><Relationship Id="rId4" Type="http://schemas.openxmlformats.org/officeDocument/2006/relationships/hyperlink" Target="https://www.etf.europa.eu/en/news-and-events/news/european-training-foundation-celebrates-its-25th-anniversary" TargetMode="External"/><Relationship Id="rId9" Type="http://schemas.openxmlformats.org/officeDocument/2006/relationships/hyperlink" Target="https://www.etf.europa.eu/en/news-and-events/news/etfs-growing-support-eu-external-assistance" TargetMode="External"/><Relationship Id="rId14" Type="http://schemas.openxmlformats.org/officeDocument/2006/relationships/hyperlink" Target="https://www.etf.europa.eu/en/news-and-events/news/business-foster-skills-development-western-balk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2020-02-26T09:21:00Z</dcterms:created>
  <dcterms:modified xsi:type="dcterms:W3CDTF">2020-02-26T09:48:00Z</dcterms:modified>
</cp:coreProperties>
</file>