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3B464" w14:textId="77777777" w:rsidR="003350D0" w:rsidRPr="003350D0" w:rsidRDefault="003350D0" w:rsidP="003350D0">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3350D0">
        <w:rPr>
          <w:rFonts w:ascii="Helvetica" w:eastAsia="Times New Roman" w:hAnsi="Helvetica" w:cs="Times New Roman"/>
          <w:b/>
          <w:bCs/>
          <w:color w:val="475562"/>
          <w:kern w:val="36"/>
          <w:sz w:val="48"/>
          <w:szCs w:val="48"/>
          <w:lang w:eastAsia="en-GB"/>
        </w:rPr>
        <w:t>Conclusions - ETF’s Conference of the Year! </w:t>
      </w:r>
    </w:p>
    <w:p w14:paraId="7BAC5510" w14:textId="77777777" w:rsidR="003350D0" w:rsidRPr="003350D0" w:rsidRDefault="003350D0" w:rsidP="003350D0">
      <w:pPr>
        <w:shd w:val="clear" w:color="auto" w:fill="FEFEFE"/>
        <w:spacing w:before="100" w:beforeAutospacing="1" w:after="100" w:afterAutospacing="1"/>
        <w:outlineLvl w:val="1"/>
        <w:rPr>
          <w:rFonts w:ascii="Helvetica" w:eastAsia="Times New Roman" w:hAnsi="Helvetica" w:cs="Times New Roman"/>
          <w:b/>
          <w:bCs/>
          <w:color w:val="475562"/>
          <w:sz w:val="36"/>
          <w:szCs w:val="36"/>
          <w:lang w:eastAsia="en-GB"/>
        </w:rPr>
      </w:pPr>
      <w:r w:rsidRPr="003350D0">
        <w:rPr>
          <w:rFonts w:ascii="Helvetica" w:eastAsia="Times New Roman" w:hAnsi="Helvetica" w:cs="Times New Roman"/>
          <w:b/>
          <w:bCs/>
          <w:color w:val="475562"/>
          <w:sz w:val="36"/>
          <w:szCs w:val="36"/>
          <w:lang w:eastAsia="en-GB"/>
        </w:rPr>
        <w:t>Skills &amp; Qualifications: Benefits for People </w:t>
      </w:r>
    </w:p>
    <w:p w14:paraId="1D484704" w14:textId="77777777" w:rsidR="003350D0" w:rsidRPr="003350D0" w:rsidRDefault="003350D0" w:rsidP="003350D0">
      <w:pPr>
        <w:shd w:val="clear" w:color="auto" w:fill="3C80AA"/>
        <w:jc w:val="center"/>
        <w:rPr>
          <w:rFonts w:ascii="Helvetica" w:eastAsia="Times New Roman" w:hAnsi="Helvetica" w:cs="Times New Roman"/>
          <w:caps/>
          <w:color w:val="FEFEFE"/>
          <w:lang w:eastAsia="en-GB"/>
        </w:rPr>
      </w:pPr>
      <w:r w:rsidRPr="003350D0">
        <w:rPr>
          <w:rFonts w:ascii="Helvetica" w:eastAsia="Times New Roman" w:hAnsi="Helvetica" w:cs="Times New Roman"/>
          <w:caps/>
          <w:color w:val="FEFEFE"/>
          <w:lang w:eastAsia="en-GB"/>
        </w:rPr>
        <w:t>08 NOV 2019</w:t>
      </w:r>
    </w:p>
    <w:p w14:paraId="78D93632" w14:textId="77777777" w:rsidR="003350D0" w:rsidRPr="003350D0" w:rsidRDefault="003350D0" w:rsidP="003350D0">
      <w:pPr>
        <w:shd w:val="clear" w:color="auto" w:fill="FEFEFE"/>
        <w:spacing w:before="100" w:beforeAutospacing="1" w:after="100" w:afterAutospacing="1"/>
        <w:rPr>
          <w:rFonts w:ascii="Helvetica" w:eastAsia="Times New Roman" w:hAnsi="Helvetica" w:cs="Times New Roman"/>
          <w:color w:val="475562"/>
          <w:lang w:eastAsia="en-GB"/>
        </w:rPr>
      </w:pPr>
      <w:r w:rsidRPr="003350D0">
        <w:rPr>
          <w:rFonts w:ascii="Helvetica" w:eastAsia="Times New Roman" w:hAnsi="Helvetica" w:cs="Times New Roman"/>
          <w:color w:val="475562"/>
          <w:lang w:val="en-US" w:eastAsia="en-GB"/>
        </w:rPr>
        <w:t>The closing panel of the ETF conference reflected on the conference proceedings, in particular the success stories and </w:t>
      </w:r>
      <w:r w:rsidRPr="003350D0">
        <w:rPr>
          <w:rFonts w:ascii="Helvetica" w:eastAsia="Times New Roman" w:hAnsi="Helvetica" w:cs="Times New Roman"/>
          <w:b/>
          <w:bCs/>
          <w:color w:val="475562"/>
          <w:lang w:val="en-US" w:eastAsia="en-GB"/>
        </w:rPr>
        <w:t>City of Practice</w:t>
      </w:r>
      <w:r w:rsidRPr="003350D0">
        <w:rPr>
          <w:rFonts w:ascii="Helvetica" w:eastAsia="Times New Roman" w:hAnsi="Helvetica" w:cs="Times New Roman"/>
          <w:color w:val="475562"/>
          <w:lang w:val="en-US" w:eastAsia="en-GB"/>
        </w:rPr>
        <w:t>, showcasing the many inspiring examples from the ETF partner countries in Skills and Qualifications. Drawing conclusions and looking to the future, the role of teachers, blended learning, the use of technology and agile providers are key areas for attention. In addition, career guidance can have greater outreach when deploying user-friendly virtual navigation tools. Fewer qualifications with more individual modules within those qualifications, as presented in an example from Finland can offer a more streamlined, flexible approach to qualifications.</w:t>
      </w:r>
    </w:p>
    <w:p w14:paraId="400122E3" w14:textId="77777777" w:rsidR="003350D0" w:rsidRPr="003350D0" w:rsidRDefault="003350D0" w:rsidP="003350D0">
      <w:pPr>
        <w:shd w:val="clear" w:color="auto" w:fill="FEFEFE"/>
        <w:spacing w:before="100" w:beforeAutospacing="1" w:after="100" w:afterAutospacing="1"/>
        <w:rPr>
          <w:rFonts w:ascii="Helvetica" w:eastAsia="Times New Roman" w:hAnsi="Helvetica" w:cs="Times New Roman"/>
          <w:color w:val="475562"/>
          <w:lang w:eastAsia="en-GB"/>
        </w:rPr>
      </w:pPr>
      <w:r w:rsidRPr="00814F03">
        <w:rPr>
          <w:rFonts w:ascii="Helvetica" w:eastAsia="Times New Roman" w:hAnsi="Helvetica" w:cs="Times New Roman"/>
          <w:color w:val="475562"/>
          <w:highlight w:val="yellow"/>
          <w:lang w:val="en-US" w:eastAsia="en-GB"/>
        </w:rPr>
        <w:t xml:space="preserve">The panel was composed by Koen </w:t>
      </w:r>
      <w:proofErr w:type="spellStart"/>
      <w:r w:rsidRPr="00814F03">
        <w:rPr>
          <w:rFonts w:ascii="Helvetica" w:eastAsia="Times New Roman" w:hAnsi="Helvetica" w:cs="Times New Roman"/>
          <w:color w:val="475562"/>
          <w:highlight w:val="yellow"/>
          <w:lang w:val="en-US" w:eastAsia="en-GB"/>
        </w:rPr>
        <w:t>Nomden</w:t>
      </w:r>
      <w:proofErr w:type="spellEnd"/>
      <w:r w:rsidRPr="00814F03">
        <w:rPr>
          <w:rFonts w:ascii="Helvetica" w:eastAsia="Times New Roman" w:hAnsi="Helvetica" w:cs="Times New Roman"/>
          <w:color w:val="475562"/>
          <w:highlight w:val="yellow"/>
          <w:lang w:val="en-US" w:eastAsia="en-GB"/>
        </w:rPr>
        <w:t xml:space="preserve">, Jean-Paul </w:t>
      </w:r>
      <w:proofErr w:type="spellStart"/>
      <w:r w:rsidRPr="00814F03">
        <w:rPr>
          <w:rFonts w:ascii="Helvetica" w:eastAsia="Times New Roman" w:hAnsi="Helvetica" w:cs="Times New Roman"/>
          <w:color w:val="475562"/>
          <w:highlight w:val="yellow"/>
          <w:lang w:val="en-US" w:eastAsia="en-GB"/>
        </w:rPr>
        <w:t>Heerschap</w:t>
      </w:r>
      <w:proofErr w:type="spellEnd"/>
      <w:r w:rsidRPr="00814F03">
        <w:rPr>
          <w:rFonts w:ascii="Helvetica" w:eastAsia="Times New Roman" w:hAnsi="Helvetica" w:cs="Times New Roman"/>
          <w:color w:val="475562"/>
          <w:highlight w:val="yellow"/>
          <w:lang w:val="en-US" w:eastAsia="en-GB"/>
        </w:rPr>
        <w:t xml:space="preserve"> and Jeroen Willems from the European Commission representing the domains of skills and qualifications, migration and employment, and EU external relations respectively, together with the ETF Director, Cesare </w:t>
      </w:r>
      <w:proofErr w:type="spellStart"/>
      <w:r w:rsidRPr="00814F03">
        <w:rPr>
          <w:rFonts w:ascii="Helvetica" w:eastAsia="Times New Roman" w:hAnsi="Helvetica" w:cs="Times New Roman"/>
          <w:color w:val="475562"/>
          <w:highlight w:val="yellow"/>
          <w:lang w:val="en-US" w:eastAsia="en-GB"/>
        </w:rPr>
        <w:t>Onestini</w:t>
      </w:r>
      <w:proofErr w:type="spellEnd"/>
      <w:r w:rsidRPr="00814F03">
        <w:rPr>
          <w:rFonts w:ascii="Helvetica" w:eastAsia="Times New Roman" w:hAnsi="Helvetica" w:cs="Times New Roman"/>
          <w:color w:val="475562"/>
          <w:highlight w:val="yellow"/>
          <w:lang w:val="en-US" w:eastAsia="en-GB"/>
        </w:rPr>
        <w:t xml:space="preserve">, and the Head of Operations, Anastasia </w:t>
      </w:r>
      <w:proofErr w:type="spellStart"/>
      <w:r w:rsidRPr="00814F03">
        <w:rPr>
          <w:rFonts w:ascii="Helvetica" w:eastAsia="Times New Roman" w:hAnsi="Helvetica" w:cs="Times New Roman"/>
          <w:color w:val="475562"/>
          <w:highlight w:val="yellow"/>
          <w:lang w:val="en-US" w:eastAsia="en-GB"/>
        </w:rPr>
        <w:t>Fetsi</w:t>
      </w:r>
      <w:proofErr w:type="spellEnd"/>
      <w:r w:rsidRPr="00814F03">
        <w:rPr>
          <w:rFonts w:ascii="Helvetica" w:eastAsia="Times New Roman" w:hAnsi="Helvetica" w:cs="Times New Roman"/>
          <w:color w:val="475562"/>
          <w:highlight w:val="yellow"/>
          <w:lang w:val="en-US" w:eastAsia="en-GB"/>
        </w:rPr>
        <w:t>.</w:t>
      </w:r>
      <w:r w:rsidRPr="003350D0">
        <w:rPr>
          <w:rFonts w:ascii="Helvetica" w:eastAsia="Times New Roman" w:hAnsi="Helvetica" w:cs="Times New Roman"/>
          <w:color w:val="475562"/>
          <w:lang w:val="en-US" w:eastAsia="en-GB"/>
        </w:rPr>
        <w:t> </w:t>
      </w:r>
      <w:bookmarkStart w:id="0" w:name="_GoBack"/>
      <w:bookmarkEnd w:id="0"/>
      <w:r w:rsidRPr="00814F03">
        <w:rPr>
          <w:rFonts w:ascii="Helvetica" w:eastAsia="Times New Roman" w:hAnsi="Helvetica" w:cs="Times New Roman"/>
          <w:color w:val="475562"/>
          <w:highlight w:val="yellow"/>
          <w:lang w:val="en-US" w:eastAsia="en-GB"/>
        </w:rPr>
        <w:t>The panel projected on the direction skills’ policies will take in the coming years, taking inspiration from the event, which will see the EU’s skills agenda and implementation updated in view of occupational trends, qualifications, lifelong learning and giving more power to the learner</w:t>
      </w:r>
      <w:r w:rsidRPr="003350D0">
        <w:rPr>
          <w:rFonts w:ascii="Helvetica" w:eastAsia="Times New Roman" w:hAnsi="Helvetica" w:cs="Times New Roman"/>
          <w:color w:val="475562"/>
          <w:lang w:val="en-US" w:eastAsia="en-GB"/>
        </w:rPr>
        <w:t>. </w:t>
      </w:r>
    </w:p>
    <w:p w14:paraId="06A428B9" w14:textId="77777777" w:rsidR="003350D0" w:rsidRPr="003350D0" w:rsidRDefault="003350D0" w:rsidP="003350D0">
      <w:pPr>
        <w:shd w:val="clear" w:color="auto" w:fill="FEFEFE"/>
        <w:spacing w:before="100" w:beforeAutospacing="1" w:after="100" w:afterAutospacing="1"/>
        <w:rPr>
          <w:rFonts w:ascii="Helvetica" w:eastAsia="Times New Roman" w:hAnsi="Helvetica" w:cs="Times New Roman"/>
          <w:color w:val="475562"/>
          <w:lang w:eastAsia="en-GB"/>
        </w:rPr>
      </w:pPr>
      <w:r w:rsidRPr="00814F03">
        <w:rPr>
          <w:rFonts w:ascii="Helvetica" w:eastAsia="Times New Roman" w:hAnsi="Helvetica" w:cs="Times New Roman"/>
          <w:color w:val="475562"/>
          <w:highlight w:val="lightGray"/>
          <w:lang w:val="en-US" w:eastAsia="en-GB"/>
        </w:rPr>
        <w:t xml:space="preserve">After 10 years the Eastern Partnership is being reflected upon at the EU’s headquarters, reported Jeroen Willems. Its focus will shift beyond basic policy reforms to implementation, for which teachers will be supported with an emphasis on mobility. Attention to curricula, enhancing flexibility and including green skills, digital innovation, and artificial intelligence will also be needed to respond to </w:t>
      </w:r>
      <w:proofErr w:type="spellStart"/>
      <w:r w:rsidRPr="00814F03">
        <w:rPr>
          <w:rFonts w:ascii="Helvetica" w:eastAsia="Times New Roman" w:hAnsi="Helvetica" w:cs="Times New Roman"/>
          <w:color w:val="475562"/>
          <w:highlight w:val="lightGray"/>
          <w:lang w:val="en-US" w:eastAsia="en-GB"/>
        </w:rPr>
        <w:t>labour</w:t>
      </w:r>
      <w:proofErr w:type="spellEnd"/>
      <w:r w:rsidRPr="00814F03">
        <w:rPr>
          <w:rFonts w:ascii="Helvetica" w:eastAsia="Times New Roman" w:hAnsi="Helvetica" w:cs="Times New Roman"/>
          <w:color w:val="475562"/>
          <w:highlight w:val="lightGray"/>
          <w:lang w:val="en-US" w:eastAsia="en-GB"/>
        </w:rPr>
        <w:t xml:space="preserve"> market needs in the face of global opportunities and challenges.</w:t>
      </w:r>
      <w:r w:rsidRPr="003350D0">
        <w:rPr>
          <w:rFonts w:ascii="Helvetica" w:eastAsia="Times New Roman" w:hAnsi="Helvetica" w:cs="Times New Roman"/>
          <w:color w:val="475562"/>
          <w:lang w:val="en-US" w:eastAsia="en-GB"/>
        </w:rPr>
        <w:t> </w:t>
      </w:r>
    </w:p>
    <w:p w14:paraId="62BAF4E8" w14:textId="77777777" w:rsidR="003350D0" w:rsidRPr="003350D0" w:rsidRDefault="003350D0" w:rsidP="003350D0">
      <w:pPr>
        <w:shd w:val="clear" w:color="auto" w:fill="FEFEFE"/>
        <w:spacing w:before="100" w:beforeAutospacing="1" w:after="100" w:afterAutospacing="1"/>
        <w:rPr>
          <w:rFonts w:ascii="Helvetica" w:eastAsia="Times New Roman" w:hAnsi="Helvetica" w:cs="Times New Roman"/>
          <w:color w:val="475562"/>
          <w:lang w:eastAsia="en-GB"/>
        </w:rPr>
      </w:pPr>
      <w:r w:rsidRPr="00814F03">
        <w:rPr>
          <w:rFonts w:ascii="Helvetica" w:eastAsia="Times New Roman" w:hAnsi="Helvetica" w:cs="Times New Roman"/>
          <w:color w:val="475562"/>
          <w:highlight w:val="lightGray"/>
          <w:lang w:val="en-US" w:eastAsia="en-GB"/>
        </w:rPr>
        <w:t xml:space="preserve">From an employment perspective, Jean-Paul </w:t>
      </w:r>
      <w:proofErr w:type="spellStart"/>
      <w:r w:rsidRPr="00814F03">
        <w:rPr>
          <w:rFonts w:ascii="Helvetica" w:eastAsia="Times New Roman" w:hAnsi="Helvetica" w:cs="Times New Roman"/>
          <w:color w:val="475562"/>
          <w:highlight w:val="lightGray"/>
          <w:lang w:val="en-US" w:eastAsia="en-GB"/>
        </w:rPr>
        <w:t>Heerschap</w:t>
      </w:r>
      <w:proofErr w:type="spellEnd"/>
      <w:r w:rsidRPr="00814F03">
        <w:rPr>
          <w:rFonts w:ascii="Helvetica" w:eastAsia="Times New Roman" w:hAnsi="Helvetica" w:cs="Times New Roman"/>
          <w:color w:val="475562"/>
          <w:highlight w:val="lightGray"/>
          <w:lang w:val="en-US" w:eastAsia="en-GB"/>
        </w:rPr>
        <w:t xml:space="preserve"> stressed the importance of vocational education and training linking to employment and business, trade and regional cooperation, in particular through national qualification systems. ‘Skills must be co-created from the bottom-up’</w:t>
      </w:r>
      <w:r w:rsidRPr="003350D0">
        <w:rPr>
          <w:rFonts w:ascii="Helvetica" w:eastAsia="Times New Roman" w:hAnsi="Helvetica" w:cs="Times New Roman"/>
          <w:color w:val="475562"/>
          <w:lang w:val="en-US" w:eastAsia="en-GB"/>
        </w:rPr>
        <w:t>.</w:t>
      </w:r>
    </w:p>
    <w:p w14:paraId="39524EDC" w14:textId="77777777" w:rsidR="003350D0" w:rsidRPr="003350D0" w:rsidRDefault="003350D0" w:rsidP="003350D0">
      <w:pPr>
        <w:shd w:val="clear" w:color="auto" w:fill="FEFEFE"/>
        <w:spacing w:before="100" w:beforeAutospacing="1" w:after="100" w:afterAutospacing="1"/>
        <w:rPr>
          <w:rFonts w:ascii="Helvetica" w:eastAsia="Times New Roman" w:hAnsi="Helvetica" w:cs="Times New Roman"/>
          <w:color w:val="475562"/>
          <w:lang w:eastAsia="en-GB"/>
        </w:rPr>
      </w:pPr>
      <w:r w:rsidRPr="00814F03">
        <w:rPr>
          <w:rFonts w:ascii="Helvetica" w:eastAsia="Times New Roman" w:hAnsi="Helvetica" w:cs="Times New Roman"/>
          <w:color w:val="475562"/>
          <w:highlight w:val="lightGray"/>
          <w:lang w:val="en-US" w:eastAsia="en-GB"/>
        </w:rPr>
        <w:t xml:space="preserve">The ETF’s Skills and Qualifications Toolkit presented at the conference was designed to support this bottom-up process. Moreover, the ETF’s new strategy 2021-2027 will focus on the generation of new knowledge to enable skills development by launching three new activities on skills demand, the creation of new learning, and vocational </w:t>
      </w:r>
      <w:proofErr w:type="spellStart"/>
      <w:r w:rsidRPr="00814F03">
        <w:rPr>
          <w:rFonts w:ascii="Helvetica" w:eastAsia="Times New Roman" w:hAnsi="Helvetica" w:cs="Times New Roman"/>
          <w:color w:val="475562"/>
          <w:highlight w:val="lightGray"/>
          <w:lang w:val="en-US" w:eastAsia="en-GB"/>
        </w:rPr>
        <w:t>centres</w:t>
      </w:r>
      <w:proofErr w:type="spellEnd"/>
      <w:r w:rsidRPr="00814F03">
        <w:rPr>
          <w:rFonts w:ascii="Helvetica" w:eastAsia="Times New Roman" w:hAnsi="Helvetica" w:cs="Times New Roman"/>
          <w:color w:val="475562"/>
          <w:highlight w:val="lightGray"/>
          <w:lang w:val="en-US" w:eastAsia="en-GB"/>
        </w:rPr>
        <w:t xml:space="preserve"> of excellence respectively.</w:t>
      </w:r>
      <w:r w:rsidRPr="003350D0">
        <w:rPr>
          <w:rFonts w:ascii="Helvetica" w:eastAsia="Times New Roman" w:hAnsi="Helvetica" w:cs="Times New Roman"/>
          <w:color w:val="475562"/>
          <w:lang w:val="en-US" w:eastAsia="en-GB"/>
        </w:rPr>
        <w:t> </w:t>
      </w:r>
    </w:p>
    <w:p w14:paraId="25A81AF3" w14:textId="77777777" w:rsidR="003350D0" w:rsidRPr="00814F03" w:rsidRDefault="003350D0" w:rsidP="003350D0">
      <w:pPr>
        <w:shd w:val="clear" w:color="auto" w:fill="FEFEFE"/>
        <w:spacing w:before="100" w:beforeAutospacing="1" w:after="100" w:afterAutospacing="1"/>
        <w:rPr>
          <w:rFonts w:ascii="Helvetica" w:eastAsia="Times New Roman" w:hAnsi="Helvetica" w:cs="Times New Roman"/>
          <w:color w:val="475562"/>
          <w:highlight w:val="yellow"/>
          <w:lang w:eastAsia="en-GB"/>
        </w:rPr>
      </w:pPr>
      <w:r w:rsidRPr="00814F03">
        <w:rPr>
          <w:rFonts w:ascii="Helvetica" w:eastAsia="Times New Roman" w:hAnsi="Helvetica" w:cs="Times New Roman"/>
          <w:i/>
          <w:iCs/>
          <w:color w:val="475562"/>
          <w:highlight w:val="yellow"/>
          <w:lang w:val="en-US" w:eastAsia="en-GB"/>
        </w:rPr>
        <w:t>Background</w:t>
      </w:r>
    </w:p>
    <w:p w14:paraId="3D1EABA0" w14:textId="77777777" w:rsidR="003350D0" w:rsidRPr="00814F03" w:rsidRDefault="003350D0" w:rsidP="003350D0">
      <w:pPr>
        <w:shd w:val="clear" w:color="auto" w:fill="FEFEFE"/>
        <w:spacing w:before="100" w:beforeAutospacing="1" w:after="100" w:afterAutospacing="1"/>
        <w:rPr>
          <w:rFonts w:ascii="Helvetica" w:eastAsia="Times New Roman" w:hAnsi="Helvetica" w:cs="Times New Roman"/>
          <w:color w:val="475562"/>
          <w:highlight w:val="yellow"/>
          <w:lang w:eastAsia="en-GB"/>
        </w:rPr>
      </w:pPr>
      <w:r w:rsidRPr="00814F03">
        <w:rPr>
          <w:rFonts w:ascii="Helvetica" w:eastAsia="Times New Roman" w:hAnsi="Helvetica" w:cs="Times New Roman"/>
          <w:color w:val="475562"/>
          <w:highlight w:val="yellow"/>
          <w:lang w:val="en-US" w:eastAsia="en-GB"/>
        </w:rPr>
        <w:lastRenderedPageBreak/>
        <w:t xml:space="preserve">Policymakers and practitioners from the ETF partner countries met in Turin, at the </w:t>
      </w:r>
      <w:proofErr w:type="spellStart"/>
      <w:r w:rsidRPr="00814F03">
        <w:rPr>
          <w:rFonts w:ascii="Helvetica" w:eastAsia="Times New Roman" w:hAnsi="Helvetica" w:cs="Times New Roman"/>
          <w:color w:val="475562"/>
          <w:highlight w:val="yellow"/>
          <w:lang w:val="en-US" w:eastAsia="en-GB"/>
        </w:rPr>
        <w:t>Lingotto</w:t>
      </w:r>
      <w:proofErr w:type="spellEnd"/>
      <w:r w:rsidRPr="00814F03">
        <w:rPr>
          <w:rFonts w:ascii="Helvetica" w:eastAsia="Times New Roman" w:hAnsi="Helvetica" w:cs="Times New Roman"/>
          <w:color w:val="475562"/>
          <w:highlight w:val="yellow"/>
          <w:lang w:val="en-US" w:eastAsia="en-GB"/>
        </w:rPr>
        <w:t xml:space="preserve"> Congress Centre, with representatives from the European Union institutions, international </w:t>
      </w:r>
      <w:proofErr w:type="spellStart"/>
      <w:r w:rsidRPr="00814F03">
        <w:rPr>
          <w:rFonts w:ascii="Helvetica" w:eastAsia="Times New Roman" w:hAnsi="Helvetica" w:cs="Times New Roman"/>
          <w:color w:val="475562"/>
          <w:highlight w:val="yellow"/>
          <w:lang w:val="en-US" w:eastAsia="en-GB"/>
        </w:rPr>
        <w:t>organisations</w:t>
      </w:r>
      <w:proofErr w:type="spellEnd"/>
      <w:r w:rsidRPr="00814F03">
        <w:rPr>
          <w:rFonts w:ascii="Helvetica" w:eastAsia="Times New Roman" w:hAnsi="Helvetica" w:cs="Times New Roman"/>
          <w:color w:val="475562"/>
          <w:highlight w:val="yellow"/>
          <w:lang w:val="en-US" w:eastAsia="en-GB"/>
        </w:rPr>
        <w:t>, and international experts from the field of skills and qualifications for the ETF Conference on Skills and Qualifications: Benefits for People. </w:t>
      </w:r>
    </w:p>
    <w:p w14:paraId="5CAB00AD" w14:textId="77777777" w:rsidR="003350D0" w:rsidRPr="00814F03" w:rsidRDefault="003350D0" w:rsidP="003350D0">
      <w:pPr>
        <w:shd w:val="clear" w:color="auto" w:fill="FEFEFE"/>
        <w:spacing w:before="100" w:beforeAutospacing="1" w:after="100" w:afterAutospacing="1"/>
        <w:rPr>
          <w:rFonts w:ascii="Helvetica" w:eastAsia="Times New Roman" w:hAnsi="Helvetica" w:cs="Times New Roman"/>
          <w:color w:val="475562"/>
          <w:highlight w:val="yellow"/>
          <w:lang w:eastAsia="en-GB"/>
        </w:rPr>
      </w:pPr>
      <w:r w:rsidRPr="00814F03">
        <w:rPr>
          <w:rFonts w:ascii="Helvetica" w:eastAsia="Times New Roman" w:hAnsi="Helvetica" w:cs="Times New Roman"/>
          <w:color w:val="475562"/>
          <w:highlight w:val="yellow"/>
          <w:lang w:val="en-US" w:eastAsia="en-GB"/>
        </w:rPr>
        <w:t>The first day of the conference focused on learning and teaching, curricula reform, and career guidance and assessment. Successful practices informed discussions together with the recently published ETF Toolkit, an aid for qualifications and skills development.  </w:t>
      </w:r>
    </w:p>
    <w:p w14:paraId="2745C7BD" w14:textId="77777777" w:rsidR="003350D0" w:rsidRPr="00814F03" w:rsidRDefault="003350D0" w:rsidP="003350D0">
      <w:pPr>
        <w:shd w:val="clear" w:color="auto" w:fill="FEFEFE"/>
        <w:spacing w:before="100" w:beforeAutospacing="1" w:after="100" w:afterAutospacing="1"/>
        <w:rPr>
          <w:rFonts w:ascii="Helvetica" w:eastAsia="Times New Roman" w:hAnsi="Helvetica" w:cs="Times New Roman"/>
          <w:color w:val="475562"/>
          <w:highlight w:val="yellow"/>
          <w:lang w:eastAsia="en-GB"/>
        </w:rPr>
      </w:pPr>
      <w:r w:rsidRPr="00814F03">
        <w:rPr>
          <w:rFonts w:ascii="Helvetica" w:eastAsia="Times New Roman" w:hAnsi="Helvetica" w:cs="Times New Roman"/>
          <w:color w:val="475562"/>
          <w:highlight w:val="yellow"/>
          <w:lang w:val="en-US" w:eastAsia="en-GB"/>
        </w:rPr>
        <w:t xml:space="preserve">The City of Practice was the focus of the second day, connecting policy and practice. Stands along the conference </w:t>
      </w:r>
      <w:proofErr w:type="spellStart"/>
      <w:r w:rsidRPr="00814F03">
        <w:rPr>
          <w:rFonts w:ascii="Helvetica" w:eastAsia="Times New Roman" w:hAnsi="Helvetica" w:cs="Times New Roman"/>
          <w:color w:val="475562"/>
          <w:highlight w:val="yellow"/>
          <w:lang w:val="en-US" w:eastAsia="en-GB"/>
        </w:rPr>
        <w:t>centre</w:t>
      </w:r>
      <w:proofErr w:type="spellEnd"/>
      <w:r w:rsidRPr="00814F03">
        <w:rPr>
          <w:rFonts w:ascii="Helvetica" w:eastAsia="Times New Roman" w:hAnsi="Helvetica" w:cs="Times New Roman"/>
          <w:color w:val="475562"/>
          <w:highlight w:val="yellow"/>
          <w:lang w:val="en-US" w:eastAsia="en-GB"/>
        </w:rPr>
        <w:t xml:space="preserve"> promenade exhibited success stories and tools in the four areas of information and guidance, the changing role of teachers, blended learning and vocational training and lifelong learning. </w:t>
      </w:r>
    </w:p>
    <w:p w14:paraId="3B0C5DCD" w14:textId="77777777" w:rsidR="003350D0" w:rsidRPr="00814F03" w:rsidRDefault="003350D0" w:rsidP="003350D0">
      <w:pPr>
        <w:shd w:val="clear" w:color="auto" w:fill="FEFEFE"/>
        <w:spacing w:before="100" w:beforeAutospacing="1" w:after="100" w:afterAutospacing="1"/>
        <w:rPr>
          <w:rFonts w:ascii="Helvetica" w:eastAsia="Times New Roman" w:hAnsi="Helvetica" w:cs="Times New Roman"/>
          <w:color w:val="475562"/>
          <w:highlight w:val="yellow"/>
          <w:lang w:eastAsia="en-GB"/>
        </w:rPr>
      </w:pPr>
      <w:r w:rsidRPr="00814F03">
        <w:rPr>
          <w:rFonts w:ascii="Helvetica" w:eastAsia="Times New Roman" w:hAnsi="Helvetica" w:cs="Times New Roman"/>
          <w:color w:val="475562"/>
          <w:highlight w:val="yellow"/>
          <w:lang w:val="en-US" w:eastAsia="en-GB"/>
        </w:rPr>
        <w:t>A full and varied agenda enabled discussions on how to enhance the benefits for people derived from policies and practices on skills and qualifications. </w:t>
      </w:r>
    </w:p>
    <w:p w14:paraId="64774787" w14:textId="77777777" w:rsidR="003350D0" w:rsidRPr="00814F03" w:rsidRDefault="003350D0" w:rsidP="003350D0">
      <w:pPr>
        <w:shd w:val="clear" w:color="auto" w:fill="FEFEFE"/>
        <w:spacing w:before="100" w:beforeAutospacing="1" w:after="100" w:afterAutospacing="1"/>
        <w:rPr>
          <w:rFonts w:ascii="Helvetica" w:eastAsia="Times New Roman" w:hAnsi="Helvetica" w:cs="Times New Roman"/>
          <w:color w:val="475562"/>
          <w:highlight w:val="yellow"/>
          <w:lang w:eastAsia="en-GB"/>
        </w:rPr>
      </w:pPr>
      <w:r w:rsidRPr="00814F03">
        <w:rPr>
          <w:rFonts w:ascii="Helvetica" w:eastAsia="Times New Roman" w:hAnsi="Helvetica" w:cs="Times New Roman"/>
          <w:color w:val="475562"/>
          <w:highlight w:val="yellow"/>
          <w:lang w:val="en-US" w:eastAsia="en-GB"/>
        </w:rPr>
        <w:t>Proceedings of the event were broadcast throughout the ETF social media channels. </w:t>
      </w:r>
    </w:p>
    <w:p w14:paraId="4EFFFFE0" w14:textId="77777777" w:rsidR="003350D0" w:rsidRPr="00814F03" w:rsidRDefault="003350D0" w:rsidP="003350D0">
      <w:pPr>
        <w:shd w:val="clear" w:color="auto" w:fill="FEFEFE"/>
        <w:spacing w:before="100" w:beforeAutospacing="1" w:after="100" w:afterAutospacing="1"/>
        <w:rPr>
          <w:rFonts w:ascii="Helvetica" w:eastAsia="Times New Roman" w:hAnsi="Helvetica" w:cs="Times New Roman"/>
          <w:color w:val="475562"/>
          <w:highlight w:val="yellow"/>
          <w:lang w:eastAsia="en-GB"/>
        </w:rPr>
      </w:pPr>
      <w:r w:rsidRPr="00814F03">
        <w:rPr>
          <w:rFonts w:ascii="Helvetica" w:eastAsia="Times New Roman" w:hAnsi="Helvetica" w:cs="Times New Roman"/>
          <w:color w:val="475562"/>
          <w:highlight w:val="yellow"/>
          <w:lang w:val="en-US" w:eastAsia="en-GB"/>
        </w:rPr>
        <w:t>More information about the conference: </w:t>
      </w:r>
      <w:hyperlink r:id="rId4" w:history="1">
        <w:r w:rsidRPr="00814F03">
          <w:rPr>
            <w:rFonts w:ascii="Helvetica" w:eastAsia="Times New Roman" w:hAnsi="Helvetica" w:cs="Times New Roman"/>
            <w:color w:val="3C80AA"/>
            <w:highlight w:val="yellow"/>
            <w:u w:val="single"/>
            <w:lang w:val="en-US" w:eastAsia="en-GB"/>
          </w:rPr>
          <w:t>https://europa.eu/!mB93gy</w:t>
        </w:r>
      </w:hyperlink>
    </w:p>
    <w:p w14:paraId="4E081B8D" w14:textId="77777777" w:rsidR="003350D0" w:rsidRPr="003350D0" w:rsidRDefault="003350D0" w:rsidP="003350D0">
      <w:pPr>
        <w:shd w:val="clear" w:color="auto" w:fill="FEFEFE"/>
        <w:spacing w:before="100" w:beforeAutospacing="1" w:after="100" w:afterAutospacing="1"/>
        <w:rPr>
          <w:rFonts w:ascii="Helvetica" w:eastAsia="Times New Roman" w:hAnsi="Helvetica" w:cs="Times New Roman"/>
          <w:color w:val="475562"/>
          <w:lang w:eastAsia="en-GB"/>
        </w:rPr>
      </w:pPr>
      <w:r w:rsidRPr="00814F03">
        <w:rPr>
          <w:rFonts w:ascii="Helvetica" w:eastAsia="Times New Roman" w:hAnsi="Helvetica" w:cs="Times New Roman"/>
          <w:color w:val="475562"/>
          <w:highlight w:val="yellow"/>
          <w:lang w:val="en-US" w:eastAsia="en-GB"/>
        </w:rPr>
        <w:t>Web streaming: </w:t>
      </w:r>
      <w:hyperlink r:id="rId5" w:history="1">
        <w:r w:rsidRPr="00814F03">
          <w:rPr>
            <w:rFonts w:ascii="Helvetica" w:eastAsia="Times New Roman" w:hAnsi="Helvetica" w:cs="Times New Roman"/>
            <w:color w:val="3C80AA"/>
            <w:highlight w:val="yellow"/>
            <w:u w:val="single"/>
            <w:lang w:val="en-US" w:eastAsia="en-GB"/>
          </w:rPr>
          <w:t>https://europa.eu/!um84bV</w:t>
        </w:r>
      </w:hyperlink>
      <w:r w:rsidRPr="003350D0">
        <w:rPr>
          <w:rFonts w:ascii="Helvetica" w:eastAsia="Times New Roman" w:hAnsi="Helvetica" w:cs="Times New Roman"/>
          <w:color w:val="475562"/>
          <w:lang w:eastAsia="en-GB"/>
        </w:rPr>
        <w:t> </w:t>
      </w:r>
    </w:p>
    <w:p w14:paraId="2815CEA2" w14:textId="77777777" w:rsidR="00446731" w:rsidRDefault="00446731"/>
    <w:sectPr w:rsidR="00446731"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31"/>
    <w:rsid w:val="002D60FD"/>
    <w:rsid w:val="003350D0"/>
    <w:rsid w:val="00446731"/>
    <w:rsid w:val="00814F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DD53EC4"/>
  <w15:chartTrackingRefBased/>
  <w15:docId w15:val="{DFC94349-3A28-3C48-AA7C-7AC85DAF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50D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350D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0D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350D0"/>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3350D0"/>
  </w:style>
  <w:style w:type="paragraph" w:styleId="NormalWeb">
    <w:name w:val="Normal (Web)"/>
    <w:basedOn w:val="Normal"/>
    <w:uiPriority w:val="99"/>
    <w:semiHidden/>
    <w:unhideWhenUsed/>
    <w:rsid w:val="003350D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350D0"/>
    <w:rPr>
      <w:b/>
      <w:bCs/>
    </w:rPr>
  </w:style>
  <w:style w:type="character" w:styleId="Emphasis">
    <w:name w:val="Emphasis"/>
    <w:basedOn w:val="DefaultParagraphFont"/>
    <w:uiPriority w:val="20"/>
    <w:qFormat/>
    <w:rsid w:val="003350D0"/>
    <w:rPr>
      <w:i/>
      <w:iCs/>
    </w:rPr>
  </w:style>
  <w:style w:type="character" w:styleId="Hyperlink">
    <w:name w:val="Hyperlink"/>
    <w:basedOn w:val="DefaultParagraphFont"/>
    <w:uiPriority w:val="99"/>
    <w:semiHidden/>
    <w:unhideWhenUsed/>
    <w:rsid w:val="003350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17047">
      <w:bodyDiv w:val="1"/>
      <w:marLeft w:val="0"/>
      <w:marRight w:val="0"/>
      <w:marTop w:val="0"/>
      <w:marBottom w:val="0"/>
      <w:divBdr>
        <w:top w:val="none" w:sz="0" w:space="0" w:color="auto"/>
        <w:left w:val="none" w:sz="0" w:space="0" w:color="auto"/>
        <w:bottom w:val="none" w:sz="0" w:space="0" w:color="auto"/>
        <w:right w:val="none" w:sz="0" w:space="0" w:color="auto"/>
      </w:divBdr>
      <w:divsChild>
        <w:div w:id="1158302209">
          <w:marLeft w:val="0"/>
          <w:marRight w:val="0"/>
          <w:marTop w:val="0"/>
          <w:marBottom w:val="0"/>
          <w:divBdr>
            <w:top w:val="none" w:sz="0" w:space="0" w:color="auto"/>
            <w:left w:val="none" w:sz="0" w:space="0" w:color="auto"/>
            <w:bottom w:val="none" w:sz="0" w:space="0" w:color="auto"/>
            <w:right w:val="none" w:sz="0" w:space="0" w:color="auto"/>
          </w:divBdr>
          <w:divsChild>
            <w:div w:id="980690755">
              <w:marLeft w:val="0"/>
              <w:marRight w:val="0"/>
              <w:marTop w:val="0"/>
              <w:marBottom w:val="0"/>
              <w:divBdr>
                <w:top w:val="none" w:sz="0" w:space="0" w:color="auto"/>
                <w:left w:val="none" w:sz="0" w:space="0" w:color="auto"/>
                <w:bottom w:val="none" w:sz="0" w:space="0" w:color="auto"/>
                <w:right w:val="none" w:sz="0" w:space="0" w:color="auto"/>
              </w:divBdr>
              <w:divsChild>
                <w:div w:id="7565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090">
          <w:marLeft w:val="0"/>
          <w:marRight w:val="0"/>
          <w:marTop w:val="0"/>
          <w:marBottom w:val="0"/>
          <w:divBdr>
            <w:top w:val="none" w:sz="0" w:space="0" w:color="auto"/>
            <w:left w:val="none" w:sz="0" w:space="0" w:color="auto"/>
            <w:bottom w:val="none" w:sz="0" w:space="0" w:color="auto"/>
            <w:right w:val="none" w:sz="0" w:space="0" w:color="auto"/>
          </w:divBdr>
          <w:divsChild>
            <w:div w:id="507985531">
              <w:marLeft w:val="0"/>
              <w:marRight w:val="0"/>
              <w:marTop w:val="0"/>
              <w:marBottom w:val="0"/>
              <w:divBdr>
                <w:top w:val="none" w:sz="0" w:space="0" w:color="auto"/>
                <w:left w:val="none" w:sz="0" w:space="0" w:color="auto"/>
                <w:bottom w:val="none" w:sz="0" w:space="0" w:color="auto"/>
                <w:right w:val="none" w:sz="0" w:space="0" w:color="auto"/>
              </w:divBdr>
            </w:div>
          </w:divsChild>
        </w:div>
        <w:div w:id="2126071767">
          <w:marLeft w:val="0"/>
          <w:marRight w:val="0"/>
          <w:marTop w:val="0"/>
          <w:marBottom w:val="0"/>
          <w:divBdr>
            <w:top w:val="none" w:sz="0" w:space="0" w:color="auto"/>
            <w:left w:val="none" w:sz="0" w:space="0" w:color="auto"/>
            <w:bottom w:val="none" w:sz="0" w:space="0" w:color="auto"/>
            <w:right w:val="none" w:sz="0" w:space="0" w:color="auto"/>
          </w:divBdr>
          <w:divsChild>
            <w:div w:id="204173930">
              <w:marLeft w:val="0"/>
              <w:marRight w:val="0"/>
              <w:marTop w:val="0"/>
              <w:marBottom w:val="0"/>
              <w:divBdr>
                <w:top w:val="none" w:sz="0" w:space="0" w:color="auto"/>
                <w:left w:val="none" w:sz="0" w:space="0" w:color="auto"/>
                <w:bottom w:val="none" w:sz="0" w:space="0" w:color="auto"/>
                <w:right w:val="none" w:sz="0" w:space="0" w:color="auto"/>
              </w:divBdr>
            </w:div>
          </w:divsChild>
        </w:div>
        <w:div w:id="1775441369">
          <w:marLeft w:val="0"/>
          <w:marRight w:val="0"/>
          <w:marTop w:val="0"/>
          <w:marBottom w:val="0"/>
          <w:divBdr>
            <w:top w:val="none" w:sz="0" w:space="0" w:color="auto"/>
            <w:left w:val="none" w:sz="0" w:space="0" w:color="auto"/>
            <w:bottom w:val="none" w:sz="0" w:space="0" w:color="auto"/>
            <w:right w:val="none" w:sz="0" w:space="0" w:color="auto"/>
          </w:divBdr>
          <w:divsChild>
            <w:div w:id="1261062992">
              <w:marLeft w:val="0"/>
              <w:marRight w:val="0"/>
              <w:marTop w:val="0"/>
              <w:marBottom w:val="0"/>
              <w:divBdr>
                <w:top w:val="none" w:sz="0" w:space="0" w:color="auto"/>
                <w:left w:val="none" w:sz="0" w:space="0" w:color="auto"/>
                <w:bottom w:val="none" w:sz="0" w:space="0" w:color="auto"/>
                <w:right w:val="none" w:sz="0" w:space="0" w:color="auto"/>
              </w:divBdr>
              <w:divsChild>
                <w:div w:id="6892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ropa.eu/!um84bV" TargetMode="External"/><Relationship Id="rId4" Type="http://schemas.openxmlformats.org/officeDocument/2006/relationships/hyperlink" Target="https://europa.eu/!mB93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2020-02-26T09:24:00Z</dcterms:created>
  <dcterms:modified xsi:type="dcterms:W3CDTF">2020-03-25T16:18:00Z</dcterms:modified>
</cp:coreProperties>
</file>