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262D" w14:textId="77777777" w:rsidR="0033328F" w:rsidRPr="0033328F" w:rsidRDefault="0033328F" w:rsidP="0033328F">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33328F">
        <w:rPr>
          <w:rFonts w:ascii="Helvetica" w:eastAsia="Times New Roman" w:hAnsi="Helvetica" w:cs="Times New Roman"/>
          <w:b/>
          <w:bCs/>
          <w:color w:val="475562"/>
          <w:kern w:val="36"/>
          <w:sz w:val="48"/>
          <w:szCs w:val="48"/>
          <w:lang w:eastAsia="en-GB"/>
        </w:rPr>
        <w:t>Armenia: Preparing for tomorrow's skills</w:t>
      </w:r>
    </w:p>
    <w:p w14:paraId="0AA77FBE" w14:textId="77777777" w:rsidR="0033328F" w:rsidRPr="0033328F" w:rsidRDefault="0033328F" w:rsidP="0033328F">
      <w:pPr>
        <w:shd w:val="clear" w:color="auto" w:fill="FEFEFE"/>
        <w:spacing w:before="100" w:beforeAutospacing="1" w:after="100" w:afterAutospacing="1"/>
        <w:outlineLvl w:val="1"/>
        <w:rPr>
          <w:rFonts w:ascii="Helvetica" w:eastAsia="Times New Roman" w:hAnsi="Helvetica" w:cs="Times New Roman"/>
          <w:b/>
          <w:bCs/>
          <w:color w:val="475562"/>
          <w:sz w:val="36"/>
          <w:szCs w:val="36"/>
          <w:lang w:eastAsia="en-GB"/>
        </w:rPr>
      </w:pPr>
      <w:r w:rsidRPr="0033328F">
        <w:rPr>
          <w:rFonts w:ascii="Helvetica" w:eastAsia="Times New Roman" w:hAnsi="Helvetica" w:cs="Times New Roman"/>
          <w:b/>
          <w:bCs/>
          <w:color w:val="475562"/>
          <w:sz w:val="36"/>
          <w:szCs w:val="36"/>
          <w:lang w:eastAsia="en-GB"/>
        </w:rPr>
        <w:t>Torino Process dissemination event </w:t>
      </w:r>
    </w:p>
    <w:p w14:paraId="56DC4502" w14:textId="77777777" w:rsidR="0033328F" w:rsidRPr="0033328F" w:rsidRDefault="0033328F" w:rsidP="0033328F">
      <w:pPr>
        <w:shd w:val="clear" w:color="auto" w:fill="3C80AA"/>
        <w:jc w:val="center"/>
        <w:rPr>
          <w:rFonts w:ascii="Helvetica" w:eastAsia="Times New Roman" w:hAnsi="Helvetica" w:cs="Times New Roman"/>
          <w:caps/>
          <w:color w:val="FEFEFE"/>
          <w:lang w:eastAsia="en-GB"/>
        </w:rPr>
      </w:pPr>
      <w:r w:rsidRPr="0033328F">
        <w:rPr>
          <w:rFonts w:ascii="Helvetica" w:eastAsia="Times New Roman" w:hAnsi="Helvetica" w:cs="Times New Roman"/>
          <w:caps/>
          <w:color w:val="FEFEFE"/>
          <w:lang w:eastAsia="en-GB"/>
        </w:rPr>
        <w:t>28 NOV 2019</w:t>
      </w:r>
    </w:p>
    <w:p w14:paraId="5B504547" w14:textId="77777777" w:rsidR="0033328F" w:rsidRPr="0033328F" w:rsidRDefault="0033328F" w:rsidP="0033328F">
      <w:pPr>
        <w:shd w:val="clear" w:color="auto" w:fill="FEFEFE"/>
        <w:spacing w:before="100" w:beforeAutospacing="1" w:after="100" w:afterAutospacing="1"/>
        <w:rPr>
          <w:rFonts w:ascii="Helvetica" w:eastAsia="Times New Roman" w:hAnsi="Helvetica" w:cs="Times New Roman"/>
          <w:color w:val="475562"/>
          <w:lang w:eastAsia="en-GB"/>
        </w:rPr>
      </w:pPr>
      <w:r w:rsidRPr="0033328F">
        <w:rPr>
          <w:rFonts w:ascii="Helvetica" w:eastAsia="Times New Roman" w:hAnsi="Helvetica" w:cs="Times New Roman"/>
          <w:color w:val="475562"/>
          <w:lang w:eastAsia="en-GB"/>
        </w:rPr>
        <w:t>Stakeholders in the field of human capital development gathered in Yerevan at an </w:t>
      </w:r>
      <w:hyperlink r:id="rId4" w:history="1">
        <w:r w:rsidRPr="0033328F">
          <w:rPr>
            <w:rFonts w:ascii="Helvetica" w:eastAsia="Times New Roman" w:hAnsi="Helvetica" w:cs="Times New Roman"/>
            <w:b/>
            <w:bCs/>
            <w:color w:val="3C80AA"/>
            <w:u w:val="single"/>
            <w:lang w:eastAsia="en-GB"/>
          </w:rPr>
          <w:t>event </w:t>
        </w:r>
      </w:hyperlink>
      <w:r w:rsidRPr="0033328F">
        <w:rPr>
          <w:rFonts w:ascii="Helvetica" w:eastAsia="Times New Roman" w:hAnsi="Helvetica" w:cs="Times New Roman"/>
          <w:b/>
          <w:bCs/>
          <w:color w:val="475562"/>
          <w:lang w:eastAsia="en-GB"/>
        </w:rPr>
        <w:t> </w:t>
      </w:r>
      <w:r w:rsidRPr="0033328F">
        <w:rPr>
          <w:rFonts w:ascii="Helvetica" w:eastAsia="Times New Roman" w:hAnsi="Helvetica" w:cs="Times New Roman"/>
          <w:color w:val="475562"/>
          <w:lang w:eastAsia="en-GB"/>
        </w:rPr>
        <w:t>to discuss the findings of the fifth round of the </w:t>
      </w:r>
      <w:hyperlink r:id="rId5" w:history="1">
        <w:r w:rsidRPr="0033328F">
          <w:rPr>
            <w:rFonts w:ascii="Helvetica" w:eastAsia="Times New Roman" w:hAnsi="Helvetica" w:cs="Times New Roman"/>
            <w:b/>
            <w:bCs/>
            <w:color w:val="3C80AA"/>
            <w:u w:val="single"/>
            <w:lang w:eastAsia="en-GB"/>
          </w:rPr>
          <w:t>Torino Process</w:t>
        </w:r>
      </w:hyperlink>
      <w:r w:rsidRPr="0033328F">
        <w:rPr>
          <w:rFonts w:ascii="Helvetica" w:eastAsia="Times New Roman" w:hAnsi="Helvetica" w:cs="Times New Roman"/>
          <w:color w:val="475562"/>
          <w:lang w:eastAsia="en-GB"/>
        </w:rPr>
        <w:t>, based on the national report, and the ETF assessment. The Deputy Minister of Education, Science, Culture and Sport, Ms Arevik Anapiosyan, opened the event which was attended by diverse national stakeholders as well as officials from the European Commission, other donor organisations, and the ETF.  </w:t>
      </w:r>
    </w:p>
    <w:p w14:paraId="317E8FAF" w14:textId="77777777" w:rsidR="0033328F" w:rsidRPr="0033328F" w:rsidRDefault="0033328F" w:rsidP="0033328F">
      <w:pPr>
        <w:shd w:val="clear" w:color="auto" w:fill="FEFEFE"/>
        <w:spacing w:before="100" w:beforeAutospacing="1" w:after="100" w:afterAutospacing="1"/>
        <w:rPr>
          <w:rFonts w:ascii="Helvetica" w:eastAsia="Times New Roman" w:hAnsi="Helvetica" w:cs="Times New Roman"/>
          <w:color w:val="475562"/>
          <w:lang w:eastAsia="en-GB"/>
        </w:rPr>
      </w:pPr>
      <w:r w:rsidRPr="007152DF">
        <w:rPr>
          <w:rFonts w:ascii="Helvetica" w:eastAsia="Times New Roman" w:hAnsi="Helvetica" w:cs="Times New Roman"/>
          <w:color w:val="475562"/>
          <w:highlight w:val="lightGray"/>
          <w:lang w:eastAsia="en-GB"/>
        </w:rPr>
        <w:t>Deputy Minister Anapiosyan noted the importance of the Torino Process for showing the achievements and progress in Armenia in recent years, and facilitating the planning of measures to move vocational education and training reform forward.</w:t>
      </w:r>
    </w:p>
    <w:p w14:paraId="5F5AECB6" w14:textId="77777777" w:rsidR="0033328F" w:rsidRPr="0033328F" w:rsidRDefault="0033328F" w:rsidP="0033328F">
      <w:pPr>
        <w:shd w:val="clear" w:color="auto" w:fill="FEFEFE"/>
        <w:spacing w:before="100" w:beforeAutospacing="1" w:after="100" w:afterAutospacing="1"/>
        <w:rPr>
          <w:rFonts w:ascii="Helvetica" w:eastAsia="Times New Roman" w:hAnsi="Helvetica" w:cs="Times New Roman"/>
          <w:color w:val="475562"/>
          <w:lang w:eastAsia="en-GB"/>
        </w:rPr>
      </w:pPr>
      <w:bookmarkStart w:id="0" w:name="_GoBack"/>
      <w:bookmarkEnd w:id="0"/>
      <w:r w:rsidRPr="007152DF">
        <w:rPr>
          <w:rFonts w:ascii="Helvetica" w:eastAsia="Times New Roman" w:hAnsi="Helvetica" w:cs="Times New Roman"/>
          <w:color w:val="475562"/>
          <w:highlight w:val="lightGray"/>
          <w:lang w:eastAsia="en-GB"/>
        </w:rPr>
        <w:t>Lawrence Meredith, Director from the European Commission’s Directorate for the Neighbourhood East region, praised the Armenians capacity for innovation and its potential for the future. The European Union’s support in Armenia is ongoing, seeking, in particular, to create opportunities for young people in all regions of the country to develop the skills needed.</w:t>
      </w:r>
      <w:r w:rsidRPr="0033328F">
        <w:rPr>
          <w:rFonts w:ascii="Helvetica" w:eastAsia="Times New Roman" w:hAnsi="Helvetica" w:cs="Times New Roman"/>
          <w:color w:val="475562"/>
          <w:lang w:eastAsia="en-GB"/>
        </w:rPr>
        <w:t> </w:t>
      </w:r>
    </w:p>
    <w:p w14:paraId="3E37EE8A" w14:textId="77777777" w:rsidR="0033328F" w:rsidRPr="0033328F" w:rsidRDefault="0033328F" w:rsidP="0033328F">
      <w:pPr>
        <w:shd w:val="clear" w:color="auto" w:fill="FEFEFE"/>
        <w:spacing w:before="100" w:beforeAutospacing="1" w:after="100" w:afterAutospacing="1"/>
        <w:rPr>
          <w:rFonts w:ascii="Helvetica" w:eastAsia="Times New Roman" w:hAnsi="Helvetica" w:cs="Times New Roman"/>
          <w:color w:val="475562"/>
          <w:lang w:eastAsia="en-GB"/>
        </w:rPr>
      </w:pPr>
      <w:r w:rsidRPr="0033328F">
        <w:rPr>
          <w:rFonts w:ascii="Helvetica" w:eastAsia="Times New Roman" w:hAnsi="Helvetica" w:cs="Times New Roman"/>
          <w:color w:val="475562"/>
          <w:lang w:eastAsia="en-GB"/>
        </w:rPr>
        <w:t>For Artak Aghbalyan, Torino Process National Coordinator, the consensus building process of many different stakeholders in undertaking the Torino Process analysis ensures buy-in and ownership in the report’s conclusions and recommendations, which shape the VET development vision in Armenia. </w:t>
      </w:r>
    </w:p>
    <w:p w14:paraId="02C6F79B" w14:textId="77777777" w:rsidR="0033328F" w:rsidRPr="0033328F" w:rsidRDefault="0033328F" w:rsidP="0033328F">
      <w:pPr>
        <w:shd w:val="clear" w:color="auto" w:fill="FEFEFE"/>
        <w:spacing w:before="100" w:beforeAutospacing="1" w:after="100" w:afterAutospacing="1"/>
        <w:rPr>
          <w:rFonts w:ascii="Helvetica" w:eastAsia="Times New Roman" w:hAnsi="Helvetica" w:cs="Times New Roman"/>
          <w:color w:val="475562"/>
          <w:lang w:eastAsia="en-GB"/>
        </w:rPr>
      </w:pPr>
      <w:r w:rsidRPr="0033328F">
        <w:rPr>
          <w:rFonts w:ascii="Helvetica" w:eastAsia="Times New Roman" w:hAnsi="Helvetica" w:cs="Times New Roman"/>
          <w:color w:val="475562"/>
          <w:lang w:eastAsia="en-GB"/>
        </w:rPr>
        <w:t>One of these recommendations concerns the piloting and introduction of a work-based learning scheme for supporting skills development, is being discussed in a </w:t>
      </w:r>
      <w:hyperlink r:id="rId6" w:history="1">
        <w:r w:rsidRPr="0033328F">
          <w:rPr>
            <w:rFonts w:ascii="Helvetica" w:eastAsia="Times New Roman" w:hAnsi="Helvetica" w:cs="Times New Roman"/>
            <w:b/>
            <w:bCs/>
            <w:color w:val="3C80AA"/>
            <w:u w:val="single"/>
            <w:lang w:eastAsia="en-GB"/>
          </w:rPr>
          <w:t>second workshop today, 28 November</w:t>
        </w:r>
      </w:hyperlink>
      <w:r w:rsidRPr="0033328F">
        <w:rPr>
          <w:rFonts w:ascii="Helvetica" w:eastAsia="Times New Roman" w:hAnsi="Helvetica" w:cs="Times New Roman"/>
          <w:color w:val="475562"/>
          <w:lang w:eastAsia="en-GB"/>
        </w:rPr>
        <w:t>.  The Concept Paper and Road Map for Development of Work-based Learning, approved by the National Council for VET Development in June 2019, provides the reference for discussions. The workshop includes key stakeholders concerned with developing work-based learning including apprenticeship systems. The event also offers an opportunity for mutual exchange of good practices and ideas.</w:t>
      </w:r>
    </w:p>
    <w:p w14:paraId="2615B620" w14:textId="77777777" w:rsidR="005C3CFE" w:rsidRDefault="005C3CFE"/>
    <w:sectPr w:rsidR="005C3CF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FE"/>
    <w:rsid w:val="002D60FD"/>
    <w:rsid w:val="0033328F"/>
    <w:rsid w:val="005C3CFE"/>
    <w:rsid w:val="007152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25F2F3B"/>
  <w15:chartTrackingRefBased/>
  <w15:docId w15:val="{822665D8-109A-6449-AF65-BE7B4A82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328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3328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28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3328F"/>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33328F"/>
  </w:style>
  <w:style w:type="paragraph" w:styleId="NormalWeb">
    <w:name w:val="Normal (Web)"/>
    <w:basedOn w:val="Normal"/>
    <w:uiPriority w:val="99"/>
    <w:semiHidden/>
    <w:unhideWhenUsed/>
    <w:rsid w:val="0033328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3328F"/>
    <w:rPr>
      <w:b/>
      <w:bCs/>
    </w:rPr>
  </w:style>
  <w:style w:type="character" w:styleId="Hyperlink">
    <w:name w:val="Hyperlink"/>
    <w:basedOn w:val="DefaultParagraphFont"/>
    <w:uiPriority w:val="99"/>
    <w:semiHidden/>
    <w:unhideWhenUsed/>
    <w:rsid w:val="00333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544135">
      <w:bodyDiv w:val="1"/>
      <w:marLeft w:val="0"/>
      <w:marRight w:val="0"/>
      <w:marTop w:val="0"/>
      <w:marBottom w:val="0"/>
      <w:divBdr>
        <w:top w:val="none" w:sz="0" w:space="0" w:color="auto"/>
        <w:left w:val="none" w:sz="0" w:space="0" w:color="auto"/>
        <w:bottom w:val="none" w:sz="0" w:space="0" w:color="auto"/>
        <w:right w:val="none" w:sz="0" w:space="0" w:color="auto"/>
      </w:divBdr>
      <w:divsChild>
        <w:div w:id="1296832208">
          <w:marLeft w:val="0"/>
          <w:marRight w:val="0"/>
          <w:marTop w:val="0"/>
          <w:marBottom w:val="0"/>
          <w:divBdr>
            <w:top w:val="none" w:sz="0" w:space="0" w:color="auto"/>
            <w:left w:val="none" w:sz="0" w:space="0" w:color="auto"/>
            <w:bottom w:val="none" w:sz="0" w:space="0" w:color="auto"/>
            <w:right w:val="none" w:sz="0" w:space="0" w:color="auto"/>
          </w:divBdr>
          <w:divsChild>
            <w:div w:id="848056277">
              <w:marLeft w:val="0"/>
              <w:marRight w:val="0"/>
              <w:marTop w:val="0"/>
              <w:marBottom w:val="0"/>
              <w:divBdr>
                <w:top w:val="none" w:sz="0" w:space="0" w:color="auto"/>
                <w:left w:val="none" w:sz="0" w:space="0" w:color="auto"/>
                <w:bottom w:val="none" w:sz="0" w:space="0" w:color="auto"/>
                <w:right w:val="none" w:sz="0" w:space="0" w:color="auto"/>
              </w:divBdr>
              <w:divsChild>
                <w:div w:id="9094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190">
          <w:marLeft w:val="0"/>
          <w:marRight w:val="0"/>
          <w:marTop w:val="0"/>
          <w:marBottom w:val="0"/>
          <w:divBdr>
            <w:top w:val="none" w:sz="0" w:space="0" w:color="auto"/>
            <w:left w:val="none" w:sz="0" w:space="0" w:color="auto"/>
            <w:bottom w:val="none" w:sz="0" w:space="0" w:color="auto"/>
            <w:right w:val="none" w:sz="0" w:space="0" w:color="auto"/>
          </w:divBdr>
          <w:divsChild>
            <w:div w:id="941382015">
              <w:marLeft w:val="0"/>
              <w:marRight w:val="0"/>
              <w:marTop w:val="0"/>
              <w:marBottom w:val="0"/>
              <w:divBdr>
                <w:top w:val="none" w:sz="0" w:space="0" w:color="auto"/>
                <w:left w:val="none" w:sz="0" w:space="0" w:color="auto"/>
                <w:bottom w:val="none" w:sz="0" w:space="0" w:color="auto"/>
                <w:right w:val="none" w:sz="0" w:space="0" w:color="auto"/>
              </w:divBdr>
            </w:div>
          </w:divsChild>
        </w:div>
        <w:div w:id="1867671347">
          <w:marLeft w:val="0"/>
          <w:marRight w:val="0"/>
          <w:marTop w:val="0"/>
          <w:marBottom w:val="0"/>
          <w:divBdr>
            <w:top w:val="none" w:sz="0" w:space="0" w:color="auto"/>
            <w:left w:val="none" w:sz="0" w:space="0" w:color="auto"/>
            <w:bottom w:val="none" w:sz="0" w:space="0" w:color="auto"/>
            <w:right w:val="none" w:sz="0" w:space="0" w:color="auto"/>
          </w:divBdr>
          <w:divsChild>
            <w:div w:id="1087728844">
              <w:marLeft w:val="0"/>
              <w:marRight w:val="0"/>
              <w:marTop w:val="0"/>
              <w:marBottom w:val="0"/>
              <w:divBdr>
                <w:top w:val="none" w:sz="0" w:space="0" w:color="auto"/>
                <w:left w:val="none" w:sz="0" w:space="0" w:color="auto"/>
                <w:bottom w:val="none" w:sz="0" w:space="0" w:color="auto"/>
                <w:right w:val="none" w:sz="0" w:space="0" w:color="auto"/>
              </w:divBdr>
            </w:div>
          </w:divsChild>
        </w:div>
        <w:div w:id="609708426">
          <w:marLeft w:val="0"/>
          <w:marRight w:val="0"/>
          <w:marTop w:val="0"/>
          <w:marBottom w:val="0"/>
          <w:divBdr>
            <w:top w:val="none" w:sz="0" w:space="0" w:color="auto"/>
            <w:left w:val="none" w:sz="0" w:space="0" w:color="auto"/>
            <w:bottom w:val="none" w:sz="0" w:space="0" w:color="auto"/>
            <w:right w:val="none" w:sz="0" w:space="0" w:color="auto"/>
          </w:divBdr>
          <w:divsChild>
            <w:div w:id="963193596">
              <w:marLeft w:val="0"/>
              <w:marRight w:val="0"/>
              <w:marTop w:val="0"/>
              <w:marBottom w:val="0"/>
              <w:divBdr>
                <w:top w:val="none" w:sz="0" w:space="0" w:color="auto"/>
                <w:left w:val="none" w:sz="0" w:space="0" w:color="auto"/>
                <w:bottom w:val="none" w:sz="0" w:space="0" w:color="auto"/>
                <w:right w:val="none" w:sz="0" w:space="0" w:color="auto"/>
              </w:divBdr>
              <w:divsChild>
                <w:div w:id="93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tf.europa.eu/en/news-and-events/events/preparing-people-tomorrows-skills-armenia-work-based-learning-strategy" TargetMode="External"/><Relationship Id="rId5" Type="http://schemas.openxmlformats.org/officeDocument/2006/relationships/hyperlink" Target="https://www.etf.europa.eu/en/practice-areas/policy-analysis-and-progress-monitoring" TargetMode="External"/><Relationship Id="rId4" Type="http://schemas.openxmlformats.org/officeDocument/2006/relationships/hyperlink" Target="https://www.etf.europa.eu/en/news-and-events/events/torino-process-2018-2020-armenia-preparing-tomorrows-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2020-02-26T09:22:00Z</dcterms:created>
  <dcterms:modified xsi:type="dcterms:W3CDTF">2020-03-25T15:59:00Z</dcterms:modified>
</cp:coreProperties>
</file>