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C413C" w14:textId="77777777" w:rsidR="00915C98" w:rsidRPr="00915C98" w:rsidRDefault="00915C98" w:rsidP="00915C98">
      <w:pPr>
        <w:rPr>
          <w:rFonts w:ascii="Arial" w:eastAsia="Times New Roman" w:hAnsi="Arial" w:cs="Arial"/>
          <w:color w:val="444444"/>
          <w:sz w:val="21"/>
          <w:szCs w:val="21"/>
          <w:lang w:eastAsia="en-GB"/>
        </w:rPr>
      </w:pPr>
      <w:r w:rsidRPr="00915C98">
        <w:rPr>
          <w:rFonts w:ascii="Arial" w:eastAsia="Times New Roman" w:hAnsi="Arial" w:cs="Arial"/>
          <w:color w:val="444444"/>
          <w:sz w:val="21"/>
          <w:szCs w:val="21"/>
          <w:lang w:eastAsia="en-GB"/>
        </w:rPr>
        <w:t>20/09/2019</w:t>
      </w:r>
    </w:p>
    <w:p w14:paraId="6AEF73CF" w14:textId="77777777" w:rsidR="00915C98" w:rsidRPr="00915C98" w:rsidRDefault="00915C98" w:rsidP="00915C98">
      <w:pPr>
        <w:spacing w:before="75" w:after="600"/>
        <w:outlineLvl w:val="0"/>
        <w:rPr>
          <w:rFonts w:ascii="Arial" w:eastAsia="Times New Roman" w:hAnsi="Arial" w:cs="Arial"/>
          <w:color w:val="013B82"/>
          <w:kern w:val="36"/>
          <w:sz w:val="48"/>
          <w:szCs w:val="48"/>
          <w:lang w:eastAsia="en-GB"/>
        </w:rPr>
      </w:pPr>
      <w:r w:rsidRPr="00915C98">
        <w:rPr>
          <w:rFonts w:ascii="Arial" w:eastAsia="Times New Roman" w:hAnsi="Arial" w:cs="Arial"/>
          <w:color w:val="013B82"/>
          <w:kern w:val="36"/>
          <w:sz w:val="48"/>
          <w:szCs w:val="48"/>
          <w:lang w:eastAsia="en-GB"/>
        </w:rPr>
        <w:t>Second Working Group for Carriers Meeting in Brussels </w:t>
      </w:r>
    </w:p>
    <w:p w14:paraId="7F3AC44E" w14:textId="77777777" w:rsidR="00915C98" w:rsidRPr="00915C98" w:rsidRDefault="00915C98" w:rsidP="00915C98">
      <w:pPr>
        <w:spacing w:after="150"/>
        <w:rPr>
          <w:rFonts w:ascii="Arial" w:eastAsia="Times New Roman" w:hAnsi="Arial" w:cs="Arial"/>
          <w:color w:val="444444"/>
          <w:lang w:eastAsia="en-GB"/>
        </w:rPr>
      </w:pPr>
      <w:r w:rsidRPr="00AF4542">
        <w:rPr>
          <w:rFonts w:ascii="Arial" w:eastAsia="Times New Roman" w:hAnsi="Arial" w:cs="Arial"/>
          <w:color w:val="444444"/>
          <w:highlight w:val="yellow"/>
          <w:lang w:eastAsia="en-GB"/>
        </w:rPr>
        <w:t>On 20 September 2019, in Brussels, eu-LISA organised the second meeting of the informal Working Group for Carriers, in collaboration with the European Commission (DG HOME).</w:t>
      </w:r>
    </w:p>
    <w:p w14:paraId="0C89EB23" w14:textId="77777777" w:rsidR="00915C98" w:rsidRPr="00915C98" w:rsidRDefault="00915C98" w:rsidP="00915C98">
      <w:pPr>
        <w:spacing w:after="150"/>
        <w:rPr>
          <w:rFonts w:ascii="Arial" w:eastAsia="Times New Roman" w:hAnsi="Arial" w:cs="Arial"/>
          <w:color w:val="444444"/>
          <w:lang w:eastAsia="en-GB"/>
        </w:rPr>
      </w:pPr>
      <w:r w:rsidRPr="00AF4542">
        <w:rPr>
          <w:rFonts w:ascii="Arial" w:eastAsia="Times New Roman" w:hAnsi="Arial" w:cs="Arial"/>
          <w:color w:val="444444"/>
          <w:highlight w:val="yellow"/>
          <w:lang w:eastAsia="en-GB"/>
        </w:rPr>
        <w:t>The event will facilitate the preparation of carriers for the implementation of their obligations stemming from the legal framework as stated in the Entry/Exit System (</w:t>
      </w:r>
      <w:hyperlink r:id="rId4" w:tgtFrame="_blank" w:history="1">
        <w:r w:rsidRPr="00AF4542">
          <w:rPr>
            <w:rFonts w:ascii="Arial" w:eastAsia="Times New Roman" w:hAnsi="Arial" w:cs="Arial"/>
            <w:color w:val="00AEEF"/>
            <w:highlight w:val="yellow"/>
            <w:u w:val="single"/>
            <w:lang w:eastAsia="en-GB"/>
          </w:rPr>
          <w:t>EES</w:t>
        </w:r>
      </w:hyperlink>
      <w:r w:rsidRPr="00AF4542">
        <w:rPr>
          <w:rFonts w:ascii="Arial" w:eastAsia="Times New Roman" w:hAnsi="Arial" w:cs="Arial"/>
          <w:color w:val="444444"/>
          <w:highlight w:val="yellow"/>
          <w:lang w:eastAsia="en-GB"/>
        </w:rPr>
        <w:t>) and the European Travel Information and Authorisation System (</w:t>
      </w:r>
      <w:hyperlink r:id="rId5" w:tgtFrame="_blank" w:history="1">
        <w:r w:rsidRPr="00AF4542">
          <w:rPr>
            <w:rFonts w:ascii="Arial" w:eastAsia="Times New Roman" w:hAnsi="Arial" w:cs="Arial"/>
            <w:color w:val="00AEEF"/>
            <w:highlight w:val="yellow"/>
            <w:u w:val="single"/>
            <w:lang w:eastAsia="en-GB"/>
          </w:rPr>
          <w:t>ETIAS</w:t>
        </w:r>
      </w:hyperlink>
      <w:r w:rsidRPr="00AF4542">
        <w:rPr>
          <w:rFonts w:ascii="Arial" w:eastAsia="Times New Roman" w:hAnsi="Arial" w:cs="Arial"/>
          <w:color w:val="444444"/>
          <w:highlight w:val="yellow"/>
          <w:lang w:eastAsia="en-GB"/>
        </w:rPr>
        <w:t>) Regulations.</w:t>
      </w:r>
    </w:p>
    <w:p w14:paraId="220E4880" w14:textId="77777777" w:rsidR="00915C98" w:rsidRPr="00714D5D" w:rsidRDefault="00915C98" w:rsidP="00915C98">
      <w:pPr>
        <w:spacing w:after="150"/>
        <w:rPr>
          <w:rFonts w:ascii="Arial" w:eastAsia="Times New Roman" w:hAnsi="Arial" w:cs="Arial"/>
          <w:color w:val="444444"/>
          <w:highlight w:val="yellow"/>
          <w:lang w:eastAsia="en-GB"/>
        </w:rPr>
      </w:pPr>
      <w:bookmarkStart w:id="0" w:name="_GoBack"/>
      <w:bookmarkEnd w:id="0"/>
      <w:r w:rsidRPr="00714D5D">
        <w:rPr>
          <w:rFonts w:ascii="Arial" w:eastAsia="Times New Roman" w:hAnsi="Arial" w:cs="Arial"/>
          <w:color w:val="444444"/>
          <w:highlight w:val="yellow"/>
          <w:lang w:eastAsia="en-GB"/>
        </w:rPr>
        <w:t>The Working Group for Carriers (WG) is an informal coordination body between eu-LISA, the European Commission, Frontex and carrier associations (for carriers operating at air and sea borders, and international carriers transporting groups overland by coach). According to the regulations, carriers will have to query EES and ETIAS and receive answers regarding the status of travellers. EES replaces the manual stamping of passports with an electronic record of entries and exits, and carriers will verify if a third-country national travelling to the EU with a short-stay, single or double entry visa has already used the number of entries authorised by their visa. Once ETIAS enters into operation, carriers will have to verify, prior to boarding, that their visa-exempt passengers have a valid travel authorisation.</w:t>
      </w:r>
    </w:p>
    <w:p w14:paraId="1900257A" w14:textId="77777777" w:rsidR="00915C98" w:rsidRPr="00915C98" w:rsidRDefault="00915C98" w:rsidP="00915C98">
      <w:pPr>
        <w:spacing w:after="150"/>
        <w:rPr>
          <w:rFonts w:ascii="Arial" w:eastAsia="Times New Roman" w:hAnsi="Arial" w:cs="Arial"/>
          <w:color w:val="444444"/>
          <w:lang w:eastAsia="en-GB"/>
        </w:rPr>
      </w:pPr>
      <w:r w:rsidRPr="00714D5D">
        <w:rPr>
          <w:rFonts w:ascii="Arial" w:eastAsia="Times New Roman" w:hAnsi="Arial" w:cs="Arial"/>
          <w:color w:val="444444"/>
          <w:highlight w:val="yellow"/>
          <w:lang w:eastAsia="en-GB"/>
        </w:rPr>
        <w:t>The first WG meeting took place on 4 June 2019. The conclusions thereof are available on our </w:t>
      </w:r>
      <w:hyperlink r:id="rId6" w:history="1">
        <w:r w:rsidRPr="00714D5D">
          <w:rPr>
            <w:rFonts w:ascii="Arial" w:eastAsia="Times New Roman" w:hAnsi="Arial" w:cs="Arial"/>
            <w:color w:val="00AEEF"/>
            <w:highlight w:val="yellow"/>
            <w:u w:val="single"/>
            <w:lang w:eastAsia="en-GB"/>
          </w:rPr>
          <w:t>website</w:t>
        </w:r>
      </w:hyperlink>
      <w:r w:rsidRPr="00714D5D">
        <w:rPr>
          <w:rFonts w:ascii="Arial" w:eastAsia="Times New Roman" w:hAnsi="Arial" w:cs="Arial"/>
          <w:color w:val="444444"/>
          <w:highlight w:val="yellow"/>
          <w:lang w:eastAsia="en-GB"/>
        </w:rPr>
        <w:t>.</w:t>
      </w:r>
    </w:p>
    <w:p w14:paraId="35AA7E08" w14:textId="77777777" w:rsidR="00915C98" w:rsidRPr="00915C98" w:rsidRDefault="00915C98" w:rsidP="00915C98">
      <w:pPr>
        <w:rPr>
          <w:rFonts w:ascii="Arial" w:eastAsia="Times New Roman" w:hAnsi="Arial" w:cs="Arial"/>
          <w:color w:val="444444"/>
          <w:lang w:eastAsia="en-GB"/>
        </w:rPr>
      </w:pPr>
    </w:p>
    <w:p w14:paraId="68B1C209" w14:textId="77777777" w:rsidR="00915C98" w:rsidRPr="00915C98" w:rsidRDefault="00915C98" w:rsidP="00915C98">
      <w:pPr>
        <w:rPr>
          <w:rFonts w:ascii="Times New Roman" w:eastAsia="Times New Roman" w:hAnsi="Times New Roman" w:cs="Times New Roman"/>
          <w:lang w:eastAsia="en-GB"/>
        </w:rPr>
      </w:pPr>
      <w:r w:rsidRPr="00915C98">
        <w:rPr>
          <w:rFonts w:ascii="Arial" w:eastAsia="Times New Roman" w:hAnsi="Arial" w:cs="Arial"/>
          <w:color w:val="444444"/>
          <w:sz w:val="20"/>
          <w:szCs w:val="20"/>
          <w:lang w:eastAsia="en-GB"/>
        </w:rPr>
        <w:t>EES</w:t>
      </w:r>
      <w:r w:rsidRPr="00915C98">
        <w:rPr>
          <w:rFonts w:ascii="Arial" w:eastAsia="Times New Roman" w:hAnsi="Arial" w:cs="Arial"/>
          <w:color w:val="444444"/>
          <w:sz w:val="20"/>
          <w:szCs w:val="20"/>
          <w:shd w:val="clear" w:color="auto" w:fill="FFFFFF"/>
          <w:lang w:eastAsia="en-GB"/>
        </w:rPr>
        <w:t>; </w:t>
      </w:r>
      <w:r w:rsidRPr="00915C98">
        <w:rPr>
          <w:rFonts w:ascii="Arial" w:eastAsia="Times New Roman" w:hAnsi="Arial" w:cs="Arial"/>
          <w:color w:val="444444"/>
          <w:sz w:val="20"/>
          <w:szCs w:val="20"/>
          <w:lang w:eastAsia="en-GB"/>
        </w:rPr>
        <w:t>ETIAS</w:t>
      </w:r>
      <w:r w:rsidRPr="00915C98">
        <w:rPr>
          <w:rFonts w:ascii="Arial" w:eastAsia="Times New Roman" w:hAnsi="Arial" w:cs="Arial"/>
          <w:color w:val="444444"/>
          <w:sz w:val="20"/>
          <w:szCs w:val="20"/>
          <w:shd w:val="clear" w:color="auto" w:fill="FFFFFF"/>
          <w:lang w:eastAsia="en-GB"/>
        </w:rPr>
        <w:t>; </w:t>
      </w:r>
      <w:r w:rsidRPr="00915C98">
        <w:rPr>
          <w:rFonts w:ascii="Arial" w:eastAsia="Times New Roman" w:hAnsi="Arial" w:cs="Arial"/>
          <w:color w:val="444444"/>
          <w:sz w:val="20"/>
          <w:szCs w:val="20"/>
          <w:lang w:eastAsia="en-GB"/>
        </w:rPr>
        <w:t>Governing bodies</w:t>
      </w:r>
      <w:r w:rsidRPr="00915C98">
        <w:rPr>
          <w:rFonts w:ascii="Arial" w:eastAsia="Times New Roman" w:hAnsi="Arial" w:cs="Arial"/>
          <w:color w:val="444444"/>
          <w:sz w:val="20"/>
          <w:szCs w:val="20"/>
          <w:shd w:val="clear" w:color="auto" w:fill="FFFFFF"/>
          <w:lang w:eastAsia="en-GB"/>
        </w:rPr>
        <w:t>; </w:t>
      </w:r>
      <w:r w:rsidRPr="00915C98">
        <w:rPr>
          <w:rFonts w:ascii="Arial" w:eastAsia="Times New Roman" w:hAnsi="Arial" w:cs="Arial"/>
          <w:color w:val="444444"/>
          <w:sz w:val="20"/>
          <w:szCs w:val="20"/>
          <w:lang w:eastAsia="en-GB"/>
        </w:rPr>
        <w:t>Smart borders</w:t>
      </w:r>
      <w:r w:rsidRPr="00915C98">
        <w:rPr>
          <w:rFonts w:ascii="Arial" w:eastAsia="Times New Roman" w:hAnsi="Arial" w:cs="Arial"/>
          <w:color w:val="444444"/>
          <w:sz w:val="20"/>
          <w:szCs w:val="20"/>
          <w:shd w:val="clear" w:color="auto" w:fill="FFFFFF"/>
          <w:lang w:eastAsia="en-GB"/>
        </w:rPr>
        <w:t>; </w:t>
      </w:r>
      <w:r w:rsidRPr="00915C98">
        <w:rPr>
          <w:rFonts w:ascii="Arial" w:eastAsia="Times New Roman" w:hAnsi="Arial" w:cs="Arial"/>
          <w:color w:val="444444"/>
          <w:sz w:val="20"/>
          <w:szCs w:val="20"/>
          <w:lang w:eastAsia="en-GB"/>
        </w:rPr>
        <w:t>Partners</w:t>
      </w:r>
    </w:p>
    <w:p w14:paraId="066DB7E7" w14:textId="77777777" w:rsidR="00571DF2" w:rsidRDefault="00571DF2"/>
    <w:sectPr w:rsidR="00571DF2"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F2"/>
    <w:rsid w:val="00571DF2"/>
    <w:rsid w:val="00714D5D"/>
    <w:rsid w:val="00915C98"/>
    <w:rsid w:val="00AF4542"/>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63EB41E"/>
  <w15:chartTrackingRefBased/>
  <w15:docId w15:val="{848955B3-66C1-0C4C-8AE1-4F8A21B2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15C9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98"/>
    <w:rPr>
      <w:rFonts w:ascii="Times New Roman" w:eastAsia="Times New Roman" w:hAnsi="Times New Roman" w:cs="Times New Roman"/>
      <w:b/>
      <w:bCs/>
      <w:kern w:val="36"/>
      <w:sz w:val="48"/>
      <w:szCs w:val="48"/>
      <w:lang w:eastAsia="en-GB"/>
    </w:rPr>
  </w:style>
  <w:style w:type="paragraph" w:customStyle="1" w:styleId="Date1">
    <w:name w:val="Date1"/>
    <w:basedOn w:val="Normal"/>
    <w:rsid w:val="00915C98"/>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15C98"/>
  </w:style>
  <w:style w:type="paragraph" w:styleId="NormalWeb">
    <w:name w:val="Normal (Web)"/>
    <w:basedOn w:val="Normal"/>
    <w:uiPriority w:val="99"/>
    <w:semiHidden/>
    <w:unhideWhenUsed/>
    <w:rsid w:val="00915C9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15C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593112">
      <w:bodyDiv w:val="1"/>
      <w:marLeft w:val="0"/>
      <w:marRight w:val="0"/>
      <w:marTop w:val="0"/>
      <w:marBottom w:val="0"/>
      <w:divBdr>
        <w:top w:val="none" w:sz="0" w:space="0" w:color="auto"/>
        <w:left w:val="none" w:sz="0" w:space="0" w:color="auto"/>
        <w:bottom w:val="none" w:sz="0" w:space="0" w:color="auto"/>
        <w:right w:val="none" w:sz="0" w:space="0" w:color="auto"/>
      </w:divBdr>
      <w:divsChild>
        <w:div w:id="373697060">
          <w:marLeft w:val="0"/>
          <w:marRight w:val="0"/>
          <w:marTop w:val="0"/>
          <w:marBottom w:val="0"/>
          <w:divBdr>
            <w:top w:val="none" w:sz="0" w:space="0" w:color="auto"/>
            <w:left w:val="none" w:sz="0" w:space="0" w:color="auto"/>
            <w:bottom w:val="none" w:sz="0" w:space="0" w:color="auto"/>
            <w:right w:val="none" w:sz="0" w:space="0" w:color="auto"/>
          </w:divBdr>
          <w:divsChild>
            <w:div w:id="2394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lisa.europa.eu/About-Us/Organisation/working-group-for-carriers" TargetMode="External"/><Relationship Id="rId5" Type="http://schemas.openxmlformats.org/officeDocument/2006/relationships/hyperlink" Target="https://eur-lex.europa.eu/legal-content/EN/TXT/PDF/?uri=OJ:L:2018:236:FULL&amp;from=EN" TargetMode="External"/><Relationship Id="rId4" Type="http://schemas.openxmlformats.org/officeDocument/2006/relationships/hyperlink" Target="http://eur-lex.europa.eu/legal-content/EN/TXT/PDF/?uri=CELEX:32017R2226&amp;r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2020-02-24T09:47:00Z</dcterms:created>
  <dcterms:modified xsi:type="dcterms:W3CDTF">2020-03-26T10:19:00Z</dcterms:modified>
</cp:coreProperties>
</file>