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9F2B4" w14:textId="77777777" w:rsidR="00002078" w:rsidRPr="00002078" w:rsidRDefault="00002078" w:rsidP="00002078">
      <w:pPr>
        <w:spacing w:line="288" w:lineRule="atLeast"/>
        <w:outlineLvl w:val="0"/>
        <w:rPr>
          <w:rFonts w:ascii="Arial" w:eastAsia="Times New Roman" w:hAnsi="Arial" w:cs="Arial"/>
          <w:b/>
          <w:bCs/>
          <w:color w:val="003399"/>
          <w:spacing w:val="-11"/>
          <w:kern w:val="36"/>
          <w:sz w:val="48"/>
          <w:szCs w:val="48"/>
          <w:lang w:eastAsia="en-GB"/>
        </w:rPr>
      </w:pPr>
      <w:r w:rsidRPr="00002078">
        <w:rPr>
          <w:rFonts w:ascii="Arial" w:eastAsia="Times New Roman" w:hAnsi="Arial" w:cs="Arial"/>
          <w:b/>
          <w:bCs/>
          <w:color w:val="003399"/>
          <w:spacing w:val="-11"/>
          <w:kern w:val="36"/>
          <w:sz w:val="48"/>
          <w:szCs w:val="48"/>
          <w:lang w:eastAsia="en-GB"/>
        </w:rPr>
        <w:br/>
        <w:t>Innovative workplace risk assessment tool OiRA goes global </w:t>
      </w:r>
    </w:p>
    <w:p w14:paraId="16E0B6F0" w14:textId="77777777" w:rsidR="00002078" w:rsidRPr="00002078" w:rsidRDefault="00002078" w:rsidP="00002078">
      <w:pPr>
        <w:rPr>
          <w:rFonts w:ascii="Verdana" w:eastAsia="Times New Roman" w:hAnsi="Verdana" w:cs="Times New Roman"/>
          <w:color w:val="000000"/>
          <w:sz w:val="22"/>
          <w:szCs w:val="22"/>
          <w:lang w:eastAsia="en-GB"/>
        </w:rPr>
      </w:pPr>
      <w:r w:rsidRPr="00002078">
        <w:rPr>
          <w:rFonts w:ascii="Verdana" w:eastAsia="Times New Roman" w:hAnsi="Verdana" w:cs="Times New Roman"/>
          <w:color w:val="000000"/>
          <w:sz w:val="22"/>
          <w:szCs w:val="22"/>
          <w:lang w:eastAsia="en-GB"/>
        </w:rPr>
        <w:fldChar w:fldCharType="begin"/>
      </w:r>
      <w:r w:rsidRPr="00002078">
        <w:rPr>
          <w:rFonts w:ascii="Verdana" w:eastAsia="Times New Roman" w:hAnsi="Verdana" w:cs="Times New Roman"/>
          <w:color w:val="000000"/>
          <w:sz w:val="22"/>
          <w:szCs w:val="22"/>
          <w:lang w:eastAsia="en-GB"/>
        </w:rPr>
        <w:instrText xml:space="preserve"> INCLUDEPICTURE "/var/folders/_q/q8cs7q6n2_9fjj5fj4lvg5kh0000gp/T/com.microsoft.Word/WebArchiveCopyPasteTempFiles/Daimler%20visit%20Vision%20Zero%2009%2005%202019_0.png?itok=sX7HAmoS" \* MERGEFORMATINET </w:instrText>
      </w:r>
      <w:r w:rsidRPr="00002078">
        <w:rPr>
          <w:rFonts w:ascii="Verdana" w:eastAsia="Times New Roman" w:hAnsi="Verdana" w:cs="Times New Roman"/>
          <w:color w:val="000000"/>
          <w:sz w:val="22"/>
          <w:szCs w:val="22"/>
          <w:lang w:eastAsia="en-GB"/>
        </w:rPr>
        <w:fldChar w:fldCharType="separate"/>
      </w:r>
      <w:r w:rsidRPr="00002078">
        <w:rPr>
          <w:rFonts w:ascii="Verdana" w:eastAsia="Times New Roman" w:hAnsi="Verdana" w:cs="Times New Roman"/>
          <w:noProof/>
          <w:color w:val="000000"/>
          <w:sz w:val="22"/>
          <w:szCs w:val="22"/>
          <w:lang w:eastAsia="en-GB"/>
        </w:rPr>
        <w:drawing>
          <wp:inline distT="0" distB="0" distL="0" distR="0" wp14:anchorId="6D53D2F7" wp14:editId="43D13C2D">
            <wp:extent cx="2794000" cy="146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0" cy="1460500"/>
                    </a:xfrm>
                    <a:prstGeom prst="rect">
                      <a:avLst/>
                    </a:prstGeom>
                    <a:noFill/>
                    <a:ln>
                      <a:noFill/>
                    </a:ln>
                  </pic:spPr>
                </pic:pic>
              </a:graphicData>
            </a:graphic>
          </wp:inline>
        </w:drawing>
      </w:r>
      <w:r w:rsidRPr="00002078">
        <w:rPr>
          <w:rFonts w:ascii="Verdana" w:eastAsia="Times New Roman" w:hAnsi="Verdana" w:cs="Times New Roman"/>
          <w:color w:val="000000"/>
          <w:sz w:val="22"/>
          <w:szCs w:val="22"/>
          <w:lang w:eastAsia="en-GB"/>
        </w:rPr>
        <w:fldChar w:fldCharType="end"/>
      </w:r>
    </w:p>
    <w:p w14:paraId="45D6DCF8" w14:textId="77777777" w:rsidR="00002078" w:rsidRPr="00B079B4" w:rsidRDefault="00002078" w:rsidP="00002078">
      <w:pPr>
        <w:spacing w:line="408" w:lineRule="atLeast"/>
        <w:rPr>
          <w:rFonts w:ascii="Arial" w:eastAsia="Times New Roman" w:hAnsi="Arial" w:cs="Arial"/>
          <w:color w:val="003399"/>
          <w:sz w:val="21"/>
          <w:szCs w:val="21"/>
          <w:highlight w:val="lightGray"/>
          <w:lang w:eastAsia="en-GB"/>
        </w:rPr>
      </w:pPr>
      <w:r w:rsidRPr="00B079B4">
        <w:rPr>
          <w:rFonts w:ascii="Arial" w:eastAsia="Times New Roman" w:hAnsi="Arial" w:cs="Arial"/>
          <w:b/>
          <w:bCs/>
          <w:color w:val="003399"/>
          <w:sz w:val="21"/>
          <w:szCs w:val="21"/>
          <w:highlight w:val="lightGray"/>
          <w:lang w:eastAsia="en-GB"/>
        </w:rPr>
        <w:t>The European Agency for Safety and Health at Work (EU-OSHA) welcomes the implementation of its Online interactive Risk Assessment (OiRA) project at multinational car manufacturer Daimler. The company’s German Health and Safety department has developed and adapted a workplace risk assessment tool on the basis of OiRA for company specific use.</w:t>
      </w:r>
    </w:p>
    <w:p w14:paraId="5EE7F061" w14:textId="77777777" w:rsidR="00002078" w:rsidRPr="00002078" w:rsidRDefault="00002078" w:rsidP="00002078">
      <w:pPr>
        <w:rPr>
          <w:rFonts w:ascii="Verdana" w:eastAsia="Times New Roman" w:hAnsi="Verdana" w:cs="Times New Roman"/>
          <w:color w:val="536E91"/>
          <w:sz w:val="22"/>
          <w:szCs w:val="22"/>
          <w:lang w:eastAsia="en-GB"/>
        </w:rPr>
      </w:pPr>
      <w:r w:rsidRPr="00B079B4">
        <w:rPr>
          <w:rFonts w:ascii="Verdana" w:eastAsia="Times New Roman" w:hAnsi="Verdana" w:cs="Times New Roman"/>
          <w:color w:val="536E91"/>
          <w:sz w:val="22"/>
          <w:szCs w:val="22"/>
          <w:highlight w:val="lightGray"/>
          <w:lang w:eastAsia="en-GB"/>
        </w:rPr>
        <w:t>The use of OiRA by such a large, multinational company raises its profile and reinforces its reputation as an effective risk assessment platform.</w:t>
      </w:r>
    </w:p>
    <w:p w14:paraId="02FDB4B9" w14:textId="77777777" w:rsidR="00002078" w:rsidRPr="00002078" w:rsidRDefault="00002078" w:rsidP="00002078">
      <w:pPr>
        <w:spacing w:after="240"/>
        <w:rPr>
          <w:rFonts w:ascii="Verdana" w:eastAsia="Times New Roman" w:hAnsi="Verdana" w:cs="Times New Roman"/>
          <w:color w:val="000000"/>
          <w:sz w:val="22"/>
          <w:szCs w:val="22"/>
          <w:lang w:eastAsia="en-GB"/>
        </w:rPr>
      </w:pPr>
      <w:r w:rsidRPr="00002078">
        <w:rPr>
          <w:rFonts w:ascii="Verdana" w:eastAsia="Times New Roman" w:hAnsi="Verdana" w:cs="Times New Roman"/>
          <w:color w:val="000000"/>
          <w:sz w:val="22"/>
          <w:szCs w:val="22"/>
          <w:lang w:eastAsia="en-GB"/>
        </w:rPr>
        <w:t>EU-</w:t>
      </w:r>
      <w:r w:rsidRPr="00B079B4">
        <w:rPr>
          <w:rFonts w:ascii="Verdana" w:eastAsia="Times New Roman" w:hAnsi="Verdana" w:cs="Times New Roman"/>
          <w:color w:val="000000"/>
          <w:sz w:val="22"/>
          <w:szCs w:val="22"/>
          <w:highlight w:val="lightGray"/>
          <w:lang w:eastAsia="en-GB"/>
        </w:rPr>
        <w:t>OSHA and Daimler are both supporters of the global </w:t>
      </w:r>
      <w:hyperlink r:id="rId6" w:tgtFrame="_blank" w:history="1">
        <w:r w:rsidRPr="00B079B4">
          <w:rPr>
            <w:rFonts w:ascii="Arial" w:eastAsia="Times New Roman" w:hAnsi="Arial" w:cs="Arial"/>
            <w:color w:val="003399"/>
            <w:sz w:val="22"/>
            <w:szCs w:val="22"/>
            <w:highlight w:val="lightGray"/>
            <w:u w:val="single"/>
            <w:lang w:eastAsia="en-GB"/>
          </w:rPr>
          <w:t>Vision Zero</w:t>
        </w:r>
        <w:r w:rsidRPr="00B079B4">
          <w:rPr>
            <w:rFonts w:ascii="Arial" w:eastAsia="Times New Roman" w:hAnsi="Arial" w:cs="Arial"/>
            <w:color w:val="003399"/>
            <w:sz w:val="22"/>
            <w:szCs w:val="22"/>
            <w:highlight w:val="lightGray"/>
            <w:lang w:eastAsia="en-GB"/>
          </w:rPr>
          <w:t> </w:t>
        </w:r>
      </w:hyperlink>
      <w:r w:rsidRPr="00B079B4">
        <w:rPr>
          <w:rFonts w:ascii="Verdana" w:eastAsia="Times New Roman" w:hAnsi="Verdana" w:cs="Times New Roman"/>
          <w:color w:val="000000"/>
          <w:sz w:val="22"/>
          <w:szCs w:val="22"/>
          <w:highlight w:val="lightGray"/>
          <w:lang w:eastAsia="en-GB"/>
        </w:rPr>
        <w:t> scheme, which is based on the belief that all accidents, diseases and harm at work are preventable. With that in mind, Daimler’s German Health and Safety department works together with EU-OSHA to make workplaces as safe as possible. EU-OSHA’s Executive Director Dr Sedlatschek stresses that </w:t>
      </w:r>
      <w:r w:rsidRPr="00B079B4">
        <w:rPr>
          <w:rFonts w:ascii="Verdana" w:eastAsia="Times New Roman" w:hAnsi="Verdana" w:cs="Times New Roman"/>
          <w:i/>
          <w:iCs/>
          <w:color w:val="000000"/>
          <w:sz w:val="22"/>
          <w:szCs w:val="22"/>
          <w:highlight w:val="lightGray"/>
          <w:lang w:eastAsia="en-GB"/>
        </w:rPr>
        <w:t>’Daimler’s efforts not only serve to meet its own specific risk assessment needs, but also benefit the wider OiRA community, as the software features developed can be easily adapted and implemented by other organisations, saving time and money. In addition, the use of OiRA by such a large, multinational company raises its profile and reinforces its reputation as an effective risk assessment platform.’</w:t>
      </w:r>
    </w:p>
    <w:p w14:paraId="5A0ADDDE" w14:textId="77777777" w:rsidR="00002078" w:rsidRPr="00002078" w:rsidRDefault="00002078" w:rsidP="00002078">
      <w:pPr>
        <w:spacing w:after="240"/>
        <w:rPr>
          <w:rFonts w:ascii="Verdana" w:eastAsia="Times New Roman" w:hAnsi="Verdana" w:cs="Times New Roman"/>
          <w:color w:val="000000"/>
          <w:sz w:val="22"/>
          <w:szCs w:val="22"/>
          <w:lang w:eastAsia="en-GB"/>
        </w:rPr>
      </w:pPr>
      <w:r w:rsidRPr="00002078">
        <w:rPr>
          <w:rFonts w:ascii="Verdana" w:eastAsia="Times New Roman" w:hAnsi="Verdana" w:cs="Times New Roman"/>
          <w:color w:val="000000"/>
          <w:sz w:val="22"/>
          <w:szCs w:val="22"/>
          <w:lang w:eastAsia="en-GB"/>
        </w:rPr>
        <w:t xml:space="preserve">Dr Sedlatschek, along with other agency staff and representatives of the German focal point network recently exchanged views with Daimler’s Health &amp; Safety department on the further rollout and promotion of OiRA. </w:t>
      </w:r>
      <w:r w:rsidRPr="00B079B4">
        <w:rPr>
          <w:rFonts w:ascii="Verdana" w:eastAsia="Times New Roman" w:hAnsi="Verdana" w:cs="Times New Roman"/>
          <w:color w:val="000000"/>
          <w:sz w:val="22"/>
          <w:szCs w:val="22"/>
          <w:highlight w:val="lightGray"/>
          <w:lang w:eastAsia="en-GB"/>
        </w:rPr>
        <w:t>The continual improvement and development of the OiRA software is very much a collaborative effort, involving the exchange of knowledge and good practice among EU-OSHA, the OiRA community, and EU and national partners.</w:t>
      </w:r>
    </w:p>
    <w:p w14:paraId="6DEE847C" w14:textId="77777777" w:rsidR="00002078" w:rsidRPr="00002078" w:rsidRDefault="00002078" w:rsidP="00002078">
      <w:pPr>
        <w:spacing w:after="240"/>
        <w:rPr>
          <w:rFonts w:ascii="Verdana" w:eastAsia="Times New Roman" w:hAnsi="Verdana" w:cs="Times New Roman"/>
          <w:color w:val="000000"/>
          <w:sz w:val="22"/>
          <w:szCs w:val="22"/>
          <w:lang w:eastAsia="en-GB"/>
        </w:rPr>
      </w:pPr>
      <w:r w:rsidRPr="00002078">
        <w:rPr>
          <w:rFonts w:ascii="Verdana" w:eastAsia="Times New Roman" w:hAnsi="Verdana" w:cs="Times New Roman"/>
          <w:b/>
          <w:bCs/>
          <w:color w:val="000000"/>
          <w:sz w:val="22"/>
          <w:szCs w:val="22"/>
          <w:lang w:eastAsia="en-GB"/>
        </w:rPr>
        <w:t>Why use OiRA?</w:t>
      </w:r>
    </w:p>
    <w:p w14:paraId="725D7D08" w14:textId="77777777" w:rsidR="00002078" w:rsidRPr="00002078" w:rsidRDefault="00002078" w:rsidP="00002078">
      <w:pPr>
        <w:spacing w:after="240"/>
        <w:rPr>
          <w:rFonts w:ascii="Verdana" w:eastAsia="Times New Roman" w:hAnsi="Verdana" w:cs="Times New Roman"/>
          <w:color w:val="000000"/>
          <w:sz w:val="22"/>
          <w:szCs w:val="22"/>
          <w:lang w:eastAsia="en-GB"/>
        </w:rPr>
      </w:pPr>
      <w:r w:rsidRPr="00002078">
        <w:rPr>
          <w:rFonts w:ascii="Verdana" w:eastAsia="Times New Roman" w:hAnsi="Verdana" w:cs="Times New Roman"/>
          <w:color w:val="000000"/>
          <w:sz w:val="22"/>
          <w:szCs w:val="22"/>
          <w:lang w:eastAsia="en-GB"/>
        </w:rPr>
        <w:t>The OiRA platform was originally developed to provide EU-OSHA’s </w:t>
      </w:r>
      <w:hyperlink r:id="rId7" w:tgtFrame="_blank" w:history="1">
        <w:r w:rsidRPr="00002078">
          <w:rPr>
            <w:rFonts w:ascii="Arial" w:eastAsia="Times New Roman" w:hAnsi="Arial" w:cs="Arial"/>
            <w:color w:val="003399"/>
            <w:sz w:val="22"/>
            <w:szCs w:val="22"/>
            <w:u w:val="single"/>
            <w:lang w:eastAsia="en-GB"/>
          </w:rPr>
          <w:t>national partners</w:t>
        </w:r>
        <w:r w:rsidRPr="00002078">
          <w:rPr>
            <w:rFonts w:ascii="Arial" w:eastAsia="Times New Roman" w:hAnsi="Arial" w:cs="Arial"/>
            <w:color w:val="003399"/>
            <w:sz w:val="22"/>
            <w:szCs w:val="22"/>
            <w:lang w:eastAsia="en-GB"/>
          </w:rPr>
          <w:t> </w:t>
        </w:r>
      </w:hyperlink>
      <w:r w:rsidRPr="00002078">
        <w:rPr>
          <w:rFonts w:ascii="Verdana" w:eastAsia="Times New Roman" w:hAnsi="Verdana" w:cs="Times New Roman"/>
          <w:color w:val="000000"/>
          <w:sz w:val="22"/>
          <w:szCs w:val="22"/>
          <w:lang w:eastAsia="en-GB"/>
        </w:rPr>
        <w:t> (such as Ministries or Labour Inspectorates) with occupational safety and health risk assessment tools that are sector specific and tailored to national contexts.</w:t>
      </w:r>
    </w:p>
    <w:p w14:paraId="0792A301" w14:textId="77777777" w:rsidR="00002078" w:rsidRPr="00002078" w:rsidRDefault="00002078" w:rsidP="00002078">
      <w:pPr>
        <w:spacing w:after="240"/>
        <w:rPr>
          <w:rFonts w:ascii="Verdana" w:eastAsia="Times New Roman" w:hAnsi="Verdana" w:cs="Times New Roman"/>
          <w:color w:val="000000"/>
          <w:sz w:val="22"/>
          <w:szCs w:val="22"/>
          <w:lang w:eastAsia="en-GB"/>
        </w:rPr>
      </w:pPr>
      <w:r w:rsidRPr="00002078">
        <w:rPr>
          <w:rFonts w:ascii="Verdana" w:eastAsia="Times New Roman" w:hAnsi="Verdana" w:cs="Times New Roman"/>
          <w:color w:val="000000"/>
          <w:sz w:val="22"/>
          <w:szCs w:val="22"/>
          <w:lang w:eastAsia="en-GB"/>
        </w:rPr>
        <w:t>The OiRA platform was initially designed with the needs of </w:t>
      </w:r>
      <w:hyperlink r:id="rId8" w:history="1">
        <w:r w:rsidRPr="00002078">
          <w:rPr>
            <w:rFonts w:ascii="Arial" w:eastAsia="Times New Roman" w:hAnsi="Arial" w:cs="Arial"/>
            <w:color w:val="003399"/>
            <w:sz w:val="22"/>
            <w:szCs w:val="22"/>
            <w:u w:val="single"/>
            <w:lang w:eastAsia="en-GB"/>
          </w:rPr>
          <w:t>micro and small enterprises</w:t>
        </w:r>
      </w:hyperlink>
      <w:r w:rsidRPr="00002078">
        <w:rPr>
          <w:rFonts w:ascii="Verdana" w:eastAsia="Times New Roman" w:hAnsi="Verdana" w:cs="Times New Roman"/>
          <w:color w:val="000000"/>
          <w:sz w:val="22"/>
          <w:szCs w:val="22"/>
          <w:lang w:eastAsia="en-GB"/>
        </w:rPr>
        <w:t xml:space="preserve"> — which often lack the resources and know-how to effectively assess </w:t>
      </w:r>
      <w:r w:rsidRPr="00002078">
        <w:rPr>
          <w:rFonts w:ascii="Verdana" w:eastAsia="Times New Roman" w:hAnsi="Verdana" w:cs="Times New Roman"/>
          <w:color w:val="000000"/>
          <w:sz w:val="22"/>
          <w:szCs w:val="22"/>
          <w:lang w:eastAsia="en-GB"/>
        </w:rPr>
        <w:lastRenderedPageBreak/>
        <w:t>and manage OSH risks — in mind. The OiRA software can easily be adapted to satisfy the needs of companies of all sizes and across all sectors.</w:t>
      </w:r>
    </w:p>
    <w:p w14:paraId="1F842406" w14:textId="77777777" w:rsidR="00002078" w:rsidRPr="00002078" w:rsidRDefault="00002078" w:rsidP="00002078">
      <w:pPr>
        <w:spacing w:after="240"/>
        <w:rPr>
          <w:rFonts w:ascii="Verdana" w:eastAsia="Times New Roman" w:hAnsi="Verdana" w:cs="Times New Roman"/>
          <w:color w:val="000000"/>
          <w:sz w:val="22"/>
          <w:szCs w:val="22"/>
          <w:lang w:eastAsia="en-GB"/>
        </w:rPr>
      </w:pPr>
      <w:r w:rsidRPr="00002078">
        <w:rPr>
          <w:rFonts w:ascii="Verdana" w:eastAsia="Times New Roman" w:hAnsi="Verdana" w:cs="Times New Roman"/>
          <w:color w:val="000000"/>
          <w:sz w:val="22"/>
          <w:szCs w:val="22"/>
          <w:lang w:eastAsia="en-GB"/>
        </w:rPr>
        <w:t>Four key reasons for using OiRA:</w:t>
      </w:r>
    </w:p>
    <w:p w14:paraId="2B66B8AC" w14:textId="77777777" w:rsidR="00002078" w:rsidRPr="00002078" w:rsidRDefault="00002078" w:rsidP="00002078">
      <w:pPr>
        <w:numPr>
          <w:ilvl w:val="0"/>
          <w:numId w:val="1"/>
        </w:numPr>
        <w:spacing w:before="100" w:beforeAutospacing="1" w:after="100" w:afterAutospacing="1"/>
        <w:ind w:left="0"/>
        <w:rPr>
          <w:rFonts w:ascii="Verdana" w:eastAsia="Times New Roman" w:hAnsi="Verdana" w:cs="Times New Roman"/>
          <w:color w:val="000000"/>
          <w:sz w:val="22"/>
          <w:szCs w:val="22"/>
          <w:lang w:eastAsia="en-GB"/>
        </w:rPr>
      </w:pPr>
      <w:r w:rsidRPr="00002078">
        <w:rPr>
          <w:rFonts w:ascii="Verdana" w:eastAsia="Times New Roman" w:hAnsi="Verdana" w:cs="Times New Roman"/>
          <w:color w:val="000000"/>
          <w:sz w:val="22"/>
          <w:szCs w:val="22"/>
          <w:lang w:eastAsia="en-GB"/>
        </w:rPr>
        <w:t>It is</w:t>
      </w:r>
      <w:r w:rsidRPr="00002078">
        <w:rPr>
          <w:rFonts w:ascii="Verdana" w:eastAsia="Times New Roman" w:hAnsi="Verdana" w:cs="Times New Roman"/>
          <w:b/>
          <w:bCs/>
          <w:color w:val="000000"/>
          <w:sz w:val="22"/>
          <w:szCs w:val="22"/>
          <w:lang w:eastAsia="en-GB"/>
        </w:rPr>
        <w:t> free</w:t>
      </w:r>
      <w:r w:rsidRPr="00002078">
        <w:rPr>
          <w:rFonts w:ascii="Verdana" w:eastAsia="Times New Roman" w:hAnsi="Verdana" w:cs="Times New Roman"/>
          <w:color w:val="000000"/>
          <w:sz w:val="22"/>
          <w:szCs w:val="22"/>
          <w:lang w:eastAsia="en-GB"/>
        </w:rPr>
        <w:t> and </w:t>
      </w:r>
      <w:r w:rsidRPr="00002078">
        <w:rPr>
          <w:rFonts w:ascii="Verdana" w:eastAsia="Times New Roman" w:hAnsi="Verdana" w:cs="Times New Roman"/>
          <w:b/>
          <w:bCs/>
          <w:color w:val="000000"/>
          <w:sz w:val="22"/>
          <w:szCs w:val="22"/>
          <w:lang w:eastAsia="en-GB"/>
        </w:rPr>
        <w:t>easy</w:t>
      </w:r>
      <w:r w:rsidRPr="00002078">
        <w:rPr>
          <w:rFonts w:ascii="Verdana" w:eastAsia="Times New Roman" w:hAnsi="Verdana" w:cs="Times New Roman"/>
          <w:color w:val="000000"/>
          <w:sz w:val="22"/>
          <w:szCs w:val="22"/>
          <w:lang w:eastAsia="en-GB"/>
        </w:rPr>
        <w:t> to use.</w:t>
      </w:r>
    </w:p>
    <w:p w14:paraId="1EC764B2" w14:textId="77777777" w:rsidR="00002078" w:rsidRPr="00002078" w:rsidRDefault="00002078" w:rsidP="00002078">
      <w:pPr>
        <w:numPr>
          <w:ilvl w:val="0"/>
          <w:numId w:val="1"/>
        </w:numPr>
        <w:spacing w:before="100" w:beforeAutospacing="1" w:after="100" w:afterAutospacing="1"/>
        <w:ind w:left="0"/>
        <w:rPr>
          <w:rFonts w:ascii="Verdana" w:eastAsia="Times New Roman" w:hAnsi="Verdana" w:cs="Times New Roman"/>
          <w:color w:val="000000"/>
          <w:sz w:val="22"/>
          <w:szCs w:val="22"/>
          <w:lang w:eastAsia="en-GB"/>
        </w:rPr>
      </w:pPr>
      <w:r w:rsidRPr="00002078">
        <w:rPr>
          <w:rFonts w:ascii="Verdana" w:eastAsia="Times New Roman" w:hAnsi="Verdana" w:cs="Times New Roman"/>
          <w:color w:val="000000"/>
          <w:sz w:val="22"/>
          <w:szCs w:val="22"/>
          <w:lang w:eastAsia="en-GB"/>
        </w:rPr>
        <w:t>It provides </w:t>
      </w:r>
      <w:r w:rsidRPr="00002078">
        <w:rPr>
          <w:rFonts w:ascii="Verdana" w:eastAsia="Times New Roman" w:hAnsi="Verdana" w:cs="Times New Roman"/>
          <w:b/>
          <w:bCs/>
          <w:color w:val="000000"/>
          <w:sz w:val="22"/>
          <w:szCs w:val="22"/>
          <w:lang w:eastAsia="en-GB"/>
        </w:rPr>
        <w:t>guidance</w:t>
      </w:r>
      <w:r w:rsidRPr="00002078">
        <w:rPr>
          <w:rFonts w:ascii="Verdana" w:eastAsia="Times New Roman" w:hAnsi="Verdana" w:cs="Times New Roman"/>
          <w:color w:val="000000"/>
          <w:sz w:val="22"/>
          <w:szCs w:val="22"/>
          <w:lang w:eastAsia="en-GB"/>
        </w:rPr>
        <w:t> and </w:t>
      </w:r>
      <w:r w:rsidRPr="00002078">
        <w:rPr>
          <w:rFonts w:ascii="Verdana" w:eastAsia="Times New Roman" w:hAnsi="Verdana" w:cs="Times New Roman"/>
          <w:b/>
          <w:bCs/>
          <w:color w:val="000000"/>
          <w:sz w:val="22"/>
          <w:szCs w:val="22"/>
          <w:lang w:eastAsia="en-GB"/>
        </w:rPr>
        <w:t>practical</w:t>
      </w:r>
      <w:r w:rsidRPr="00002078">
        <w:rPr>
          <w:rFonts w:ascii="Verdana" w:eastAsia="Times New Roman" w:hAnsi="Verdana" w:cs="Times New Roman"/>
          <w:color w:val="000000"/>
          <w:sz w:val="22"/>
          <w:szCs w:val="22"/>
          <w:lang w:eastAsia="en-GB"/>
        </w:rPr>
        <w:t> </w:t>
      </w:r>
      <w:r w:rsidRPr="00002078">
        <w:rPr>
          <w:rFonts w:ascii="Verdana" w:eastAsia="Times New Roman" w:hAnsi="Verdana" w:cs="Times New Roman"/>
          <w:b/>
          <w:bCs/>
          <w:color w:val="000000"/>
          <w:sz w:val="22"/>
          <w:szCs w:val="22"/>
          <w:lang w:eastAsia="en-GB"/>
        </w:rPr>
        <w:t>solutions</w:t>
      </w:r>
      <w:r w:rsidRPr="00002078">
        <w:rPr>
          <w:rFonts w:ascii="Verdana" w:eastAsia="Times New Roman" w:hAnsi="Verdana" w:cs="Times New Roman"/>
          <w:color w:val="000000"/>
          <w:sz w:val="22"/>
          <w:szCs w:val="22"/>
          <w:lang w:eastAsia="en-GB"/>
        </w:rPr>
        <w:t>.</w:t>
      </w:r>
    </w:p>
    <w:p w14:paraId="626EBBB5" w14:textId="77777777" w:rsidR="00002078" w:rsidRPr="00002078" w:rsidRDefault="00002078" w:rsidP="00002078">
      <w:pPr>
        <w:numPr>
          <w:ilvl w:val="0"/>
          <w:numId w:val="1"/>
        </w:numPr>
        <w:spacing w:before="100" w:beforeAutospacing="1" w:after="100" w:afterAutospacing="1"/>
        <w:ind w:left="0"/>
        <w:rPr>
          <w:rFonts w:ascii="Verdana" w:eastAsia="Times New Roman" w:hAnsi="Verdana" w:cs="Times New Roman"/>
          <w:color w:val="000000"/>
          <w:sz w:val="22"/>
          <w:szCs w:val="22"/>
          <w:lang w:eastAsia="en-GB"/>
        </w:rPr>
      </w:pPr>
      <w:r w:rsidRPr="00002078">
        <w:rPr>
          <w:rFonts w:ascii="Verdana" w:eastAsia="Times New Roman" w:hAnsi="Verdana" w:cs="Times New Roman"/>
          <w:color w:val="000000"/>
          <w:sz w:val="22"/>
          <w:szCs w:val="22"/>
          <w:lang w:eastAsia="en-GB"/>
        </w:rPr>
        <w:t>It allows a </w:t>
      </w:r>
      <w:r w:rsidRPr="00002078">
        <w:rPr>
          <w:rFonts w:ascii="Verdana" w:eastAsia="Times New Roman" w:hAnsi="Verdana" w:cs="Times New Roman"/>
          <w:b/>
          <w:bCs/>
          <w:color w:val="000000"/>
          <w:sz w:val="22"/>
          <w:szCs w:val="22"/>
          <w:lang w:eastAsia="en-GB"/>
        </w:rPr>
        <w:t>sector-specific</w:t>
      </w:r>
      <w:r w:rsidRPr="00002078">
        <w:rPr>
          <w:rFonts w:ascii="Verdana" w:eastAsia="Times New Roman" w:hAnsi="Verdana" w:cs="Times New Roman"/>
          <w:color w:val="000000"/>
          <w:sz w:val="22"/>
          <w:szCs w:val="22"/>
          <w:lang w:eastAsia="en-GB"/>
        </w:rPr>
        <w:t> approach to risk assessment.</w:t>
      </w:r>
    </w:p>
    <w:p w14:paraId="4D23EDB0" w14:textId="77777777" w:rsidR="00002078" w:rsidRPr="00002078" w:rsidRDefault="00002078" w:rsidP="00002078">
      <w:pPr>
        <w:numPr>
          <w:ilvl w:val="0"/>
          <w:numId w:val="1"/>
        </w:numPr>
        <w:spacing w:before="100" w:beforeAutospacing="1" w:after="100" w:afterAutospacing="1"/>
        <w:ind w:left="0"/>
        <w:rPr>
          <w:rFonts w:ascii="Verdana" w:eastAsia="Times New Roman" w:hAnsi="Verdana" w:cs="Times New Roman"/>
          <w:color w:val="000000"/>
          <w:sz w:val="22"/>
          <w:szCs w:val="22"/>
          <w:lang w:eastAsia="en-GB"/>
        </w:rPr>
      </w:pPr>
      <w:r w:rsidRPr="00002078">
        <w:rPr>
          <w:rFonts w:ascii="Verdana" w:eastAsia="Times New Roman" w:hAnsi="Verdana" w:cs="Times New Roman"/>
          <w:color w:val="000000"/>
          <w:sz w:val="22"/>
          <w:szCs w:val="22"/>
          <w:lang w:eastAsia="en-GB"/>
        </w:rPr>
        <w:t>It can help companies</w:t>
      </w:r>
      <w:r w:rsidRPr="00002078">
        <w:rPr>
          <w:rFonts w:ascii="Verdana" w:eastAsia="Times New Roman" w:hAnsi="Verdana" w:cs="Times New Roman"/>
          <w:b/>
          <w:bCs/>
          <w:color w:val="000000"/>
          <w:sz w:val="22"/>
          <w:szCs w:val="22"/>
          <w:lang w:eastAsia="en-GB"/>
        </w:rPr>
        <w:t> comply</w:t>
      </w:r>
      <w:r w:rsidRPr="00002078">
        <w:rPr>
          <w:rFonts w:ascii="Verdana" w:eastAsia="Times New Roman" w:hAnsi="Verdana" w:cs="Times New Roman"/>
          <w:color w:val="000000"/>
          <w:sz w:val="22"/>
          <w:szCs w:val="22"/>
          <w:lang w:eastAsia="en-GB"/>
        </w:rPr>
        <w:t> </w:t>
      </w:r>
      <w:r w:rsidRPr="00002078">
        <w:rPr>
          <w:rFonts w:ascii="Verdana" w:eastAsia="Times New Roman" w:hAnsi="Verdana" w:cs="Times New Roman"/>
          <w:b/>
          <w:bCs/>
          <w:color w:val="000000"/>
          <w:sz w:val="22"/>
          <w:szCs w:val="22"/>
          <w:lang w:eastAsia="en-GB"/>
        </w:rPr>
        <w:t>with legal requirements</w:t>
      </w:r>
      <w:r w:rsidRPr="00002078">
        <w:rPr>
          <w:rFonts w:ascii="Verdana" w:eastAsia="Times New Roman" w:hAnsi="Verdana" w:cs="Times New Roman"/>
          <w:color w:val="000000"/>
          <w:sz w:val="22"/>
          <w:szCs w:val="22"/>
          <w:lang w:eastAsia="en-GB"/>
        </w:rPr>
        <w:t>.</w:t>
      </w:r>
    </w:p>
    <w:p w14:paraId="76625818" w14:textId="77777777" w:rsidR="00002078" w:rsidRPr="00002078" w:rsidRDefault="00002078" w:rsidP="00002078">
      <w:pPr>
        <w:spacing w:after="240"/>
        <w:rPr>
          <w:rFonts w:ascii="Verdana" w:eastAsia="Times New Roman" w:hAnsi="Verdana" w:cs="Times New Roman"/>
          <w:color w:val="000000"/>
          <w:sz w:val="22"/>
          <w:szCs w:val="22"/>
          <w:lang w:eastAsia="en-GB"/>
        </w:rPr>
      </w:pPr>
      <w:r w:rsidRPr="00B079B4">
        <w:rPr>
          <w:rFonts w:ascii="Verdana" w:eastAsia="Times New Roman" w:hAnsi="Verdana" w:cs="Times New Roman"/>
          <w:color w:val="000000"/>
          <w:sz w:val="22"/>
          <w:szCs w:val="22"/>
          <w:highlight w:val="lightGray"/>
          <w:lang w:eastAsia="en-GB"/>
        </w:rPr>
        <w:t>The growing success of OiRA is clear: in 2018, more than 85,000 risk assessments were carried out using OiRA tools and more than 20 new tools were published online, amounting up to more than 160 tools in total. In addition, some countries — Italy, Lithuania and Slovenia — now recommend the use of OiRA in their national legislation or national OSH strategies. Such endorsement of OiRA at national level — combined with efforts at EU level and examples of good practice at company level — is key to raising awareness of the OiRA platform’s capabilities and encouraging its use as part of everyday OSH management in companies across Europe.</w:t>
      </w:r>
    </w:p>
    <w:p w14:paraId="35DA84C9" w14:textId="77777777" w:rsidR="00002078" w:rsidRPr="00002078" w:rsidRDefault="00002078" w:rsidP="00002078">
      <w:pPr>
        <w:spacing w:after="240"/>
        <w:rPr>
          <w:rFonts w:ascii="Verdana" w:eastAsia="Times New Roman" w:hAnsi="Verdana" w:cs="Times New Roman"/>
          <w:color w:val="000000"/>
          <w:sz w:val="22"/>
          <w:szCs w:val="22"/>
          <w:lang w:eastAsia="en-GB"/>
        </w:rPr>
      </w:pPr>
      <w:r w:rsidRPr="00002078">
        <w:rPr>
          <w:rFonts w:ascii="Verdana" w:eastAsia="Times New Roman" w:hAnsi="Verdana" w:cs="Times New Roman"/>
          <w:b/>
          <w:bCs/>
          <w:color w:val="000000"/>
          <w:sz w:val="22"/>
          <w:szCs w:val="22"/>
          <w:lang w:eastAsia="en-GB"/>
        </w:rPr>
        <w:t>Links:</w:t>
      </w:r>
    </w:p>
    <w:p w14:paraId="1B24D46F" w14:textId="77777777" w:rsidR="00002078" w:rsidRPr="00002078" w:rsidRDefault="00B079B4" w:rsidP="00002078">
      <w:pPr>
        <w:numPr>
          <w:ilvl w:val="0"/>
          <w:numId w:val="2"/>
        </w:numPr>
        <w:spacing w:before="100" w:beforeAutospacing="1" w:after="100" w:afterAutospacing="1"/>
        <w:ind w:left="0"/>
        <w:rPr>
          <w:rFonts w:ascii="Verdana" w:eastAsia="Times New Roman" w:hAnsi="Verdana" w:cs="Times New Roman"/>
          <w:color w:val="000000"/>
          <w:sz w:val="22"/>
          <w:szCs w:val="22"/>
          <w:lang w:eastAsia="en-GB"/>
        </w:rPr>
      </w:pPr>
      <w:hyperlink r:id="rId9" w:tgtFrame="_blank" w:history="1">
        <w:r w:rsidR="00002078" w:rsidRPr="00002078">
          <w:rPr>
            <w:rFonts w:ascii="Arial" w:eastAsia="Times New Roman" w:hAnsi="Arial" w:cs="Arial"/>
            <w:color w:val="003399"/>
            <w:sz w:val="22"/>
            <w:szCs w:val="22"/>
            <w:u w:val="single"/>
            <w:lang w:eastAsia="en-GB"/>
          </w:rPr>
          <w:t>Check the existing OiRA tools for sectoral risk assessments</w:t>
        </w:r>
        <w:r w:rsidR="00002078" w:rsidRPr="00002078">
          <w:rPr>
            <w:rFonts w:ascii="Arial" w:eastAsia="Times New Roman" w:hAnsi="Arial" w:cs="Arial"/>
            <w:color w:val="003399"/>
            <w:sz w:val="22"/>
            <w:szCs w:val="22"/>
            <w:lang w:eastAsia="en-GB"/>
          </w:rPr>
          <w:t> </w:t>
        </w:r>
      </w:hyperlink>
    </w:p>
    <w:p w14:paraId="6EF66FC0" w14:textId="77777777" w:rsidR="00002078" w:rsidRPr="00002078" w:rsidRDefault="00B079B4" w:rsidP="00002078">
      <w:pPr>
        <w:numPr>
          <w:ilvl w:val="0"/>
          <w:numId w:val="2"/>
        </w:numPr>
        <w:spacing w:before="100" w:beforeAutospacing="1" w:after="100" w:afterAutospacing="1"/>
        <w:ind w:left="0"/>
        <w:rPr>
          <w:rFonts w:ascii="Verdana" w:eastAsia="Times New Roman" w:hAnsi="Verdana" w:cs="Times New Roman"/>
          <w:color w:val="000000"/>
          <w:sz w:val="22"/>
          <w:szCs w:val="22"/>
          <w:lang w:eastAsia="en-GB"/>
        </w:rPr>
      </w:pPr>
      <w:hyperlink r:id="rId10" w:tgtFrame="_blank" w:history="1">
        <w:r w:rsidR="00002078" w:rsidRPr="00002078">
          <w:rPr>
            <w:rFonts w:ascii="Arial" w:eastAsia="Times New Roman" w:hAnsi="Arial" w:cs="Arial"/>
            <w:color w:val="003399"/>
            <w:sz w:val="22"/>
            <w:szCs w:val="22"/>
            <w:u w:val="single"/>
            <w:lang w:eastAsia="en-GB"/>
          </w:rPr>
          <w:t>Watch the video on risk assessment with OiRA</w:t>
        </w:r>
        <w:r w:rsidR="00002078" w:rsidRPr="00002078">
          <w:rPr>
            <w:rFonts w:ascii="Arial" w:eastAsia="Times New Roman" w:hAnsi="Arial" w:cs="Arial"/>
            <w:color w:val="003399"/>
            <w:sz w:val="22"/>
            <w:szCs w:val="22"/>
            <w:lang w:eastAsia="en-GB"/>
          </w:rPr>
          <w:t> </w:t>
        </w:r>
      </w:hyperlink>
    </w:p>
    <w:p w14:paraId="7F2A1940" w14:textId="77777777" w:rsidR="00002078" w:rsidRPr="00002078" w:rsidRDefault="00B079B4" w:rsidP="00002078">
      <w:pPr>
        <w:numPr>
          <w:ilvl w:val="0"/>
          <w:numId w:val="2"/>
        </w:numPr>
        <w:spacing w:before="100" w:beforeAutospacing="1" w:after="100" w:afterAutospacing="1"/>
        <w:ind w:left="0"/>
        <w:rPr>
          <w:rFonts w:ascii="Verdana" w:eastAsia="Times New Roman" w:hAnsi="Verdana" w:cs="Times New Roman"/>
          <w:color w:val="000000"/>
          <w:sz w:val="22"/>
          <w:szCs w:val="22"/>
          <w:lang w:eastAsia="en-GB"/>
        </w:rPr>
      </w:pPr>
      <w:hyperlink r:id="rId11" w:tgtFrame="_blank" w:history="1">
        <w:r w:rsidR="00002078" w:rsidRPr="00002078">
          <w:rPr>
            <w:rFonts w:ascii="Arial" w:eastAsia="Times New Roman" w:hAnsi="Arial" w:cs="Arial"/>
            <w:color w:val="003399"/>
            <w:sz w:val="22"/>
            <w:szCs w:val="22"/>
            <w:u w:val="single"/>
            <w:lang w:eastAsia="en-GB"/>
          </w:rPr>
          <w:t>Check out the multilingual OiRA infographic</w:t>
        </w:r>
        <w:r w:rsidR="00002078" w:rsidRPr="00002078">
          <w:rPr>
            <w:rFonts w:ascii="Arial" w:eastAsia="Times New Roman" w:hAnsi="Arial" w:cs="Arial"/>
            <w:color w:val="003399"/>
            <w:sz w:val="22"/>
            <w:szCs w:val="22"/>
            <w:lang w:eastAsia="en-GB"/>
          </w:rPr>
          <w:t> </w:t>
        </w:r>
      </w:hyperlink>
    </w:p>
    <w:p w14:paraId="17067218" w14:textId="77777777" w:rsidR="002A5B78" w:rsidRDefault="002A5B78"/>
    <w:sectPr w:rsidR="002A5B78"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D313F"/>
    <w:multiLevelType w:val="multilevel"/>
    <w:tmpl w:val="0E14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B3848"/>
    <w:multiLevelType w:val="multilevel"/>
    <w:tmpl w:val="CC14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78"/>
    <w:rsid w:val="00002078"/>
    <w:rsid w:val="002A5B78"/>
    <w:rsid w:val="002D60FD"/>
    <w:rsid w:val="00B079B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54DAE82E"/>
  <w15:chartTrackingRefBased/>
  <w15:docId w15:val="{2E105B1F-0E74-F34B-A1CB-31193E08B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207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078"/>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002078"/>
  </w:style>
  <w:style w:type="paragraph" w:styleId="NormalWeb">
    <w:name w:val="Normal (Web)"/>
    <w:basedOn w:val="Normal"/>
    <w:uiPriority w:val="99"/>
    <w:semiHidden/>
    <w:unhideWhenUsed/>
    <w:rsid w:val="0000207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002078"/>
    <w:rPr>
      <w:b/>
      <w:bCs/>
    </w:rPr>
  </w:style>
  <w:style w:type="character" w:styleId="Hyperlink">
    <w:name w:val="Hyperlink"/>
    <w:basedOn w:val="DefaultParagraphFont"/>
    <w:uiPriority w:val="99"/>
    <w:semiHidden/>
    <w:unhideWhenUsed/>
    <w:rsid w:val="00002078"/>
    <w:rPr>
      <w:color w:val="0000FF"/>
      <w:u w:val="single"/>
    </w:rPr>
  </w:style>
  <w:style w:type="character" w:customStyle="1" w:styleId="oshatargetexternallink">
    <w:name w:val="osha_target_external_link"/>
    <w:basedOn w:val="DefaultParagraphFont"/>
    <w:rsid w:val="00002078"/>
  </w:style>
  <w:style w:type="character" w:styleId="Emphasis">
    <w:name w:val="Emphasis"/>
    <w:basedOn w:val="DefaultParagraphFont"/>
    <w:uiPriority w:val="20"/>
    <w:qFormat/>
    <w:rsid w:val="00002078"/>
    <w:rPr>
      <w:i/>
      <w:iCs/>
    </w:rPr>
  </w:style>
  <w:style w:type="paragraph" w:customStyle="1" w:styleId="06footnotesparagraphheadline">
    <w:name w:val="06footnotesparagraphheadline"/>
    <w:basedOn w:val="Normal"/>
    <w:rsid w:val="0000207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346237">
      <w:bodyDiv w:val="1"/>
      <w:marLeft w:val="0"/>
      <w:marRight w:val="0"/>
      <w:marTop w:val="0"/>
      <w:marBottom w:val="0"/>
      <w:divBdr>
        <w:top w:val="none" w:sz="0" w:space="0" w:color="auto"/>
        <w:left w:val="none" w:sz="0" w:space="0" w:color="auto"/>
        <w:bottom w:val="none" w:sz="0" w:space="0" w:color="auto"/>
        <w:right w:val="none" w:sz="0" w:space="0" w:color="auto"/>
      </w:divBdr>
      <w:divsChild>
        <w:div w:id="1923296053">
          <w:marLeft w:val="0"/>
          <w:marRight w:val="0"/>
          <w:marTop w:val="0"/>
          <w:marBottom w:val="0"/>
          <w:divBdr>
            <w:top w:val="none" w:sz="0" w:space="0" w:color="auto"/>
            <w:left w:val="none" w:sz="0" w:space="0" w:color="auto"/>
            <w:bottom w:val="none" w:sz="0" w:space="0" w:color="auto"/>
            <w:right w:val="none" w:sz="0" w:space="0" w:color="auto"/>
          </w:divBdr>
          <w:divsChild>
            <w:div w:id="640506045">
              <w:marLeft w:val="0"/>
              <w:marRight w:val="0"/>
              <w:marTop w:val="0"/>
              <w:marBottom w:val="0"/>
              <w:divBdr>
                <w:top w:val="none" w:sz="0" w:space="0" w:color="auto"/>
                <w:left w:val="none" w:sz="0" w:space="0" w:color="auto"/>
                <w:bottom w:val="none" w:sz="0" w:space="0" w:color="auto"/>
                <w:right w:val="none" w:sz="0" w:space="0" w:color="auto"/>
              </w:divBdr>
              <w:divsChild>
                <w:div w:id="2250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69632">
          <w:marLeft w:val="0"/>
          <w:marRight w:val="0"/>
          <w:marTop w:val="0"/>
          <w:marBottom w:val="0"/>
          <w:divBdr>
            <w:top w:val="none" w:sz="0" w:space="0" w:color="auto"/>
            <w:left w:val="none" w:sz="0" w:space="0" w:color="auto"/>
            <w:bottom w:val="none" w:sz="0" w:space="0" w:color="auto"/>
            <w:right w:val="none" w:sz="0" w:space="0" w:color="auto"/>
          </w:divBdr>
          <w:divsChild>
            <w:div w:id="1926456205">
              <w:marLeft w:val="0"/>
              <w:marRight w:val="0"/>
              <w:marTop w:val="0"/>
              <w:marBottom w:val="0"/>
              <w:divBdr>
                <w:top w:val="none" w:sz="0" w:space="0" w:color="auto"/>
                <w:left w:val="none" w:sz="0" w:space="0" w:color="auto"/>
                <w:bottom w:val="none" w:sz="0" w:space="0" w:color="auto"/>
                <w:right w:val="none" w:sz="0" w:space="0" w:color="auto"/>
              </w:divBdr>
              <w:divsChild>
                <w:div w:id="6348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7858">
          <w:marLeft w:val="0"/>
          <w:marRight w:val="0"/>
          <w:marTop w:val="0"/>
          <w:marBottom w:val="225"/>
          <w:divBdr>
            <w:top w:val="none" w:sz="0" w:space="0" w:color="auto"/>
            <w:left w:val="none" w:sz="0" w:space="0" w:color="auto"/>
            <w:bottom w:val="none" w:sz="0" w:space="0" w:color="auto"/>
            <w:right w:val="none" w:sz="0" w:space="0" w:color="auto"/>
          </w:divBdr>
          <w:divsChild>
            <w:div w:id="1016615847">
              <w:marLeft w:val="0"/>
              <w:marRight w:val="0"/>
              <w:marTop w:val="0"/>
              <w:marBottom w:val="0"/>
              <w:divBdr>
                <w:top w:val="none" w:sz="0" w:space="0" w:color="auto"/>
                <w:left w:val="none" w:sz="0" w:space="0" w:color="auto"/>
                <w:bottom w:val="none" w:sz="0" w:space="0" w:color="auto"/>
                <w:right w:val="none" w:sz="0" w:space="0" w:color="auto"/>
              </w:divBdr>
              <w:divsChild>
                <w:div w:id="7011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82604">
          <w:marLeft w:val="0"/>
          <w:marRight w:val="0"/>
          <w:marTop w:val="0"/>
          <w:marBottom w:val="0"/>
          <w:divBdr>
            <w:top w:val="none" w:sz="0" w:space="0" w:color="auto"/>
            <w:left w:val="none" w:sz="0" w:space="0" w:color="auto"/>
            <w:bottom w:val="none" w:sz="0" w:space="0" w:color="auto"/>
            <w:right w:val="none" w:sz="0" w:space="0" w:color="auto"/>
          </w:divBdr>
          <w:divsChild>
            <w:div w:id="781534238">
              <w:marLeft w:val="0"/>
              <w:marRight w:val="0"/>
              <w:marTop w:val="0"/>
              <w:marBottom w:val="0"/>
              <w:divBdr>
                <w:top w:val="none" w:sz="0" w:space="0" w:color="auto"/>
                <w:left w:val="none" w:sz="0" w:space="0" w:color="auto"/>
                <w:bottom w:val="none" w:sz="0" w:space="0" w:color="auto"/>
                <w:right w:val="none" w:sz="0" w:space="0" w:color="auto"/>
              </w:divBdr>
              <w:divsChild>
                <w:div w:id="1794905698">
                  <w:marLeft w:val="0"/>
                  <w:marRight w:val="0"/>
                  <w:marTop w:val="0"/>
                  <w:marBottom w:val="0"/>
                  <w:divBdr>
                    <w:top w:val="none" w:sz="0" w:space="0" w:color="auto"/>
                    <w:left w:val="none" w:sz="0" w:space="0" w:color="auto"/>
                    <w:bottom w:val="none" w:sz="0" w:space="0" w:color="auto"/>
                    <w:right w:val="none" w:sz="0" w:space="0" w:color="auto"/>
                  </w:divBdr>
                  <w:divsChild>
                    <w:div w:id="1190528990">
                      <w:marLeft w:val="0"/>
                      <w:marRight w:val="0"/>
                      <w:marTop w:val="240"/>
                      <w:marBottom w:val="240"/>
                      <w:divBdr>
                        <w:top w:val="single" w:sz="36" w:space="24" w:color="536E91"/>
                        <w:left w:val="none" w:sz="0" w:space="0" w:color="auto"/>
                        <w:bottom w:val="single" w:sz="36" w:space="24" w:color="536E91"/>
                        <w:right w:val="none" w:sz="0" w:space="0" w:color="auto"/>
                      </w:divBdr>
                    </w:div>
                  </w:divsChild>
                </w:div>
              </w:divsChild>
            </w:div>
          </w:divsChild>
        </w:div>
        <w:div w:id="1864780745">
          <w:marLeft w:val="0"/>
          <w:marRight w:val="0"/>
          <w:marTop w:val="0"/>
          <w:marBottom w:val="0"/>
          <w:divBdr>
            <w:top w:val="none" w:sz="0" w:space="0" w:color="auto"/>
            <w:left w:val="none" w:sz="0" w:space="0" w:color="auto"/>
            <w:bottom w:val="none" w:sz="0" w:space="0" w:color="auto"/>
            <w:right w:val="none" w:sz="0" w:space="0" w:color="auto"/>
          </w:divBdr>
          <w:divsChild>
            <w:div w:id="1389766585">
              <w:marLeft w:val="0"/>
              <w:marRight w:val="0"/>
              <w:marTop w:val="0"/>
              <w:marBottom w:val="0"/>
              <w:divBdr>
                <w:top w:val="none" w:sz="0" w:space="0" w:color="auto"/>
                <w:left w:val="none" w:sz="0" w:space="0" w:color="auto"/>
                <w:bottom w:val="none" w:sz="0" w:space="0" w:color="auto"/>
                <w:right w:val="none" w:sz="0" w:space="0" w:color="auto"/>
              </w:divBdr>
              <w:divsChild>
                <w:div w:id="20912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8867">
          <w:marLeft w:val="0"/>
          <w:marRight w:val="0"/>
          <w:marTop w:val="0"/>
          <w:marBottom w:val="0"/>
          <w:divBdr>
            <w:top w:val="none" w:sz="0" w:space="0" w:color="auto"/>
            <w:left w:val="none" w:sz="0" w:space="0" w:color="auto"/>
            <w:bottom w:val="none" w:sz="0" w:space="0" w:color="auto"/>
            <w:right w:val="none" w:sz="0" w:space="0" w:color="auto"/>
          </w:divBdr>
          <w:divsChild>
            <w:div w:id="135418653">
              <w:marLeft w:val="0"/>
              <w:marRight w:val="0"/>
              <w:marTop w:val="0"/>
              <w:marBottom w:val="0"/>
              <w:divBdr>
                <w:top w:val="none" w:sz="0" w:space="0" w:color="auto"/>
                <w:left w:val="none" w:sz="0" w:space="0" w:color="auto"/>
                <w:bottom w:val="none" w:sz="0" w:space="0" w:color="auto"/>
                <w:right w:val="none" w:sz="0" w:space="0" w:color="auto"/>
              </w:divBdr>
            </w:div>
            <w:div w:id="1994215199">
              <w:marLeft w:val="0"/>
              <w:marRight w:val="0"/>
              <w:marTop w:val="0"/>
              <w:marBottom w:val="0"/>
              <w:divBdr>
                <w:top w:val="none" w:sz="0" w:space="0" w:color="auto"/>
                <w:left w:val="none" w:sz="0" w:space="0" w:color="auto"/>
                <w:bottom w:val="none" w:sz="0" w:space="0" w:color="auto"/>
                <w:right w:val="none" w:sz="0" w:space="0" w:color="auto"/>
              </w:divBdr>
              <w:divsChild>
                <w:div w:id="219950460">
                  <w:marLeft w:val="0"/>
                  <w:marRight w:val="0"/>
                  <w:marTop w:val="0"/>
                  <w:marBottom w:val="0"/>
                  <w:divBdr>
                    <w:top w:val="none" w:sz="0" w:space="0" w:color="auto"/>
                    <w:left w:val="none" w:sz="0" w:space="0" w:color="auto"/>
                    <w:bottom w:val="none" w:sz="0" w:space="0" w:color="auto"/>
                    <w:right w:val="none" w:sz="0" w:space="0" w:color="auto"/>
                  </w:divBdr>
                  <w:divsChild>
                    <w:div w:id="1115052132">
                      <w:marLeft w:val="0"/>
                      <w:marRight w:val="0"/>
                      <w:marTop w:val="0"/>
                      <w:marBottom w:val="0"/>
                      <w:divBdr>
                        <w:top w:val="none" w:sz="0" w:space="0" w:color="auto"/>
                        <w:left w:val="none" w:sz="0" w:space="0" w:color="auto"/>
                        <w:bottom w:val="none" w:sz="0" w:space="0" w:color="auto"/>
                        <w:right w:val="none" w:sz="0" w:space="0" w:color="auto"/>
                      </w:divBdr>
                      <w:divsChild>
                        <w:div w:id="1287853156">
                          <w:marLeft w:val="0"/>
                          <w:marRight w:val="0"/>
                          <w:marTop w:val="0"/>
                          <w:marBottom w:val="0"/>
                          <w:divBdr>
                            <w:top w:val="none" w:sz="0" w:space="0" w:color="auto"/>
                            <w:left w:val="none" w:sz="0" w:space="0" w:color="auto"/>
                            <w:bottom w:val="none" w:sz="0" w:space="0" w:color="auto"/>
                            <w:right w:val="none" w:sz="0" w:space="0" w:color="auto"/>
                          </w:divBdr>
                          <w:divsChild>
                            <w:div w:id="4219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ha.europa.eu/en/themes/safety-and-health-micro-and-small-enterpris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iraproject.eu/en/national-partn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sionzero.global/" TargetMode="External"/><Relationship Id="rId11" Type="http://schemas.openxmlformats.org/officeDocument/2006/relationships/hyperlink" Target="https://oiraproject.eu/en/news/take-out-workplace-risks-4-steps-multilingual-oira-infographic" TargetMode="External"/><Relationship Id="rId5" Type="http://schemas.openxmlformats.org/officeDocument/2006/relationships/image" Target="media/image1.png"/><Relationship Id="rId10" Type="http://schemas.openxmlformats.org/officeDocument/2006/relationships/hyperlink" Target="https://www.youtube.com/watch?v=IU2DWX1DzFY" TargetMode="External"/><Relationship Id="rId4" Type="http://schemas.openxmlformats.org/officeDocument/2006/relationships/webSettings" Target="webSettings.xml"/><Relationship Id="rId9" Type="http://schemas.openxmlformats.org/officeDocument/2006/relationships/hyperlink" Target="https://oiraproject.eu/en/oira-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2020-02-26T10:49:00Z</dcterms:created>
  <dcterms:modified xsi:type="dcterms:W3CDTF">2020-03-16T17:39:00Z</dcterms:modified>
</cp:coreProperties>
</file>