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6F777" w14:textId="77777777" w:rsidR="00BA533E" w:rsidRPr="00BA533E" w:rsidRDefault="00BA533E" w:rsidP="00BA533E">
      <w:pPr>
        <w:spacing w:line="288" w:lineRule="atLeast"/>
        <w:outlineLvl w:val="0"/>
        <w:rPr>
          <w:rFonts w:ascii="Arial" w:eastAsia="Times New Roman" w:hAnsi="Arial" w:cs="Arial"/>
          <w:b/>
          <w:bCs/>
          <w:color w:val="003399"/>
          <w:spacing w:val="-11"/>
          <w:kern w:val="36"/>
          <w:sz w:val="48"/>
          <w:szCs w:val="48"/>
          <w:lang w:eastAsia="en-GB"/>
        </w:rPr>
      </w:pPr>
      <w:r w:rsidRPr="00BA533E">
        <w:rPr>
          <w:rFonts w:ascii="Arial" w:eastAsia="Times New Roman" w:hAnsi="Arial" w:cs="Arial"/>
          <w:b/>
          <w:bCs/>
          <w:color w:val="003399"/>
          <w:spacing w:val="-11"/>
          <w:kern w:val="36"/>
          <w:sz w:val="48"/>
          <w:szCs w:val="48"/>
          <w:lang w:eastAsia="en-GB"/>
        </w:rPr>
        <w:br/>
        <w:t>Healthy Workplaces Good Practice Awards highlight examples of managing dangerous substances in the workplace</w:t>
      </w:r>
    </w:p>
    <w:p w14:paraId="31C056E4" w14:textId="77777777" w:rsidR="00BA533E" w:rsidRPr="00BA533E" w:rsidRDefault="00BA533E" w:rsidP="00BA533E">
      <w:pPr>
        <w:rPr>
          <w:rFonts w:ascii="Verdana" w:eastAsia="Times New Roman" w:hAnsi="Verdana" w:cs="Times New Roman"/>
          <w:color w:val="000000"/>
          <w:sz w:val="22"/>
          <w:szCs w:val="22"/>
          <w:lang w:eastAsia="en-GB"/>
        </w:rPr>
      </w:pPr>
      <w:r w:rsidRPr="00BA533E">
        <w:rPr>
          <w:rFonts w:ascii="Verdana" w:eastAsia="Times New Roman" w:hAnsi="Verdana" w:cs="Times New Roman"/>
          <w:color w:val="000000"/>
          <w:sz w:val="22"/>
          <w:szCs w:val="22"/>
          <w:lang w:eastAsia="en-GB"/>
        </w:rPr>
        <w:fldChar w:fldCharType="begin"/>
      </w:r>
      <w:r w:rsidRPr="00BA533E">
        <w:rPr>
          <w:rFonts w:ascii="Verdana" w:eastAsia="Times New Roman" w:hAnsi="Verdana" w:cs="Times New Roman"/>
          <w:color w:val="000000"/>
          <w:sz w:val="22"/>
          <w:szCs w:val="22"/>
          <w:lang w:eastAsia="en-GB"/>
        </w:rPr>
        <w:instrText xml:space="preserve"> INCLUDEPICTURE "/var/folders/_q/q8cs7q6n2_9fjj5fj4lvg5kh0000gp/T/com.microsoft.Word/WebArchiveCopyPasteTempFiles/2_3.png?itok=vRJEpNn2" \* MERGEFORMATINET </w:instrText>
      </w:r>
      <w:r w:rsidRPr="00BA533E">
        <w:rPr>
          <w:rFonts w:ascii="Verdana" w:eastAsia="Times New Roman" w:hAnsi="Verdana" w:cs="Times New Roman"/>
          <w:color w:val="000000"/>
          <w:sz w:val="22"/>
          <w:szCs w:val="22"/>
          <w:lang w:eastAsia="en-GB"/>
        </w:rPr>
        <w:fldChar w:fldCharType="separate"/>
      </w:r>
      <w:r w:rsidRPr="00BA533E">
        <w:rPr>
          <w:rFonts w:ascii="Verdana" w:eastAsia="Times New Roman" w:hAnsi="Verdana" w:cs="Times New Roman"/>
          <w:noProof/>
          <w:color w:val="000000"/>
          <w:sz w:val="22"/>
          <w:szCs w:val="22"/>
          <w:lang w:eastAsia="en-GB"/>
        </w:rPr>
        <w:drawing>
          <wp:inline distT="0" distB="0" distL="0" distR="0" wp14:anchorId="21B5C324" wp14:editId="550C0EF3">
            <wp:extent cx="2794000" cy="170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0" cy="1701800"/>
                    </a:xfrm>
                    <a:prstGeom prst="rect">
                      <a:avLst/>
                    </a:prstGeom>
                    <a:noFill/>
                    <a:ln>
                      <a:noFill/>
                    </a:ln>
                  </pic:spPr>
                </pic:pic>
              </a:graphicData>
            </a:graphic>
          </wp:inline>
        </w:drawing>
      </w:r>
      <w:r w:rsidRPr="00BA533E">
        <w:rPr>
          <w:rFonts w:ascii="Verdana" w:eastAsia="Times New Roman" w:hAnsi="Verdana" w:cs="Times New Roman"/>
          <w:color w:val="000000"/>
          <w:sz w:val="22"/>
          <w:szCs w:val="22"/>
          <w:lang w:eastAsia="en-GB"/>
        </w:rPr>
        <w:fldChar w:fldCharType="end"/>
      </w:r>
    </w:p>
    <w:p w14:paraId="3AD22752" w14:textId="77777777" w:rsidR="00BA533E" w:rsidRPr="00BA533E" w:rsidRDefault="00BA533E" w:rsidP="00BA533E">
      <w:pPr>
        <w:spacing w:line="408" w:lineRule="atLeast"/>
        <w:rPr>
          <w:rFonts w:ascii="Arial" w:eastAsia="Times New Roman" w:hAnsi="Arial" w:cs="Arial"/>
          <w:color w:val="003399"/>
          <w:sz w:val="21"/>
          <w:szCs w:val="21"/>
          <w:lang w:eastAsia="en-GB"/>
        </w:rPr>
      </w:pPr>
      <w:bookmarkStart w:id="0" w:name="_GoBack"/>
      <w:bookmarkEnd w:id="0"/>
      <w:r w:rsidRPr="00DC0A22">
        <w:rPr>
          <w:rFonts w:ascii="Arial" w:eastAsia="Times New Roman" w:hAnsi="Arial" w:cs="Arial"/>
          <w:b/>
          <w:bCs/>
          <w:color w:val="003399"/>
          <w:sz w:val="21"/>
          <w:szCs w:val="21"/>
          <w:highlight w:val="lightGray"/>
          <w:lang w:eastAsia="en-GB"/>
        </w:rPr>
        <w:t>The European Agency for Safety and Health at Work (EU-OSHA) announces awarded and commended examples of organisations that take an innovative approach to successfully tackling the risks posed by dangerous substances, as part of its 14th Good Practice Awards competition. The awards recognise organisations with an outstanding commitment to occupational safety and health (OSH) and promote practices that protect workers and boost productivity.</w:t>
      </w:r>
    </w:p>
    <w:p w14:paraId="2B3B3B00" w14:textId="77777777" w:rsidR="00BA533E" w:rsidRPr="00D56F6B" w:rsidRDefault="00BA533E" w:rsidP="00BA533E">
      <w:pPr>
        <w:rPr>
          <w:rFonts w:ascii="Verdana" w:eastAsia="Times New Roman" w:hAnsi="Verdana" w:cs="Times New Roman"/>
          <w:color w:val="536E91"/>
          <w:sz w:val="22"/>
          <w:szCs w:val="22"/>
          <w:highlight w:val="cyan"/>
          <w:lang w:eastAsia="en-GB"/>
        </w:rPr>
      </w:pPr>
      <w:r w:rsidRPr="00D56F6B">
        <w:rPr>
          <w:rFonts w:ascii="Verdana" w:eastAsia="Times New Roman" w:hAnsi="Verdana" w:cs="Times New Roman"/>
          <w:color w:val="536E91"/>
          <w:sz w:val="22"/>
          <w:szCs w:val="22"/>
          <w:highlight w:val="cyan"/>
          <w:lang w:eastAsia="en-GB"/>
        </w:rPr>
        <w:t>The winning examples are from enterprises and organisations of a wide variety of sizes and from various sectors, all with a common goal: to create a culture of prevention and protect workers from dangerous substances.</w:t>
      </w:r>
    </w:p>
    <w:p w14:paraId="1A532A0C" w14:textId="77777777" w:rsidR="00BA533E" w:rsidRPr="00BA533E" w:rsidRDefault="00BA533E" w:rsidP="00BA533E">
      <w:pPr>
        <w:spacing w:after="240"/>
        <w:rPr>
          <w:rFonts w:ascii="Verdana" w:eastAsia="Times New Roman" w:hAnsi="Verdana" w:cs="Times New Roman"/>
          <w:color w:val="000000"/>
          <w:sz w:val="22"/>
          <w:szCs w:val="22"/>
          <w:lang w:eastAsia="en-GB"/>
        </w:rPr>
      </w:pPr>
      <w:r w:rsidRPr="00D56F6B">
        <w:rPr>
          <w:rFonts w:ascii="Verdana" w:eastAsia="Times New Roman" w:hAnsi="Verdana" w:cs="Times New Roman"/>
          <w:color w:val="000000"/>
          <w:sz w:val="22"/>
          <w:szCs w:val="22"/>
          <w:highlight w:val="cyan"/>
          <w:lang w:eastAsia="en-GB"/>
        </w:rPr>
        <w:t>The 2018-19 competition is a key part of EU-OSHA’s </w:t>
      </w:r>
      <w:hyperlink r:id="rId6" w:tgtFrame="_blank" w:history="1">
        <w:r w:rsidRPr="00D56F6B">
          <w:rPr>
            <w:rFonts w:ascii="Arial" w:eastAsia="Times New Roman" w:hAnsi="Arial" w:cs="Arial"/>
            <w:color w:val="003399"/>
            <w:sz w:val="22"/>
            <w:szCs w:val="22"/>
            <w:highlight w:val="cyan"/>
            <w:u w:val="single"/>
            <w:lang w:eastAsia="en-GB"/>
          </w:rPr>
          <w:t>Healthy Workplaces Manage Dangerous Substances</w:t>
        </w:r>
        <w:r w:rsidRPr="00D56F6B">
          <w:rPr>
            <w:rFonts w:ascii="Arial" w:eastAsia="Times New Roman" w:hAnsi="Arial" w:cs="Arial"/>
            <w:color w:val="003399"/>
            <w:sz w:val="22"/>
            <w:szCs w:val="22"/>
            <w:highlight w:val="cyan"/>
            <w:lang w:eastAsia="en-GB"/>
          </w:rPr>
          <w:t> </w:t>
        </w:r>
      </w:hyperlink>
      <w:r w:rsidRPr="00D56F6B">
        <w:rPr>
          <w:rFonts w:ascii="Verdana" w:eastAsia="Times New Roman" w:hAnsi="Verdana" w:cs="Times New Roman"/>
          <w:color w:val="000000"/>
          <w:sz w:val="22"/>
          <w:szCs w:val="22"/>
          <w:highlight w:val="cyan"/>
          <w:lang w:eastAsia="en-GB"/>
        </w:rPr>
        <w:t> campaign. Dr Christa Sedlatschek, EU-OSHA’s Executive Director, commented on the merit of the awards: </w:t>
      </w:r>
      <w:r w:rsidRPr="00D56F6B">
        <w:rPr>
          <w:rFonts w:ascii="Verdana" w:eastAsia="Times New Roman" w:hAnsi="Verdana" w:cs="Times New Roman"/>
          <w:i/>
          <w:iCs/>
          <w:color w:val="000000"/>
          <w:sz w:val="22"/>
          <w:szCs w:val="22"/>
          <w:highlight w:val="cyan"/>
          <w:lang w:eastAsia="en-GB"/>
        </w:rPr>
        <w:t>‘We are delighted to see so many strong and varied examples of good occupational safety and health practice in the context of managing dangerous substances. The winning examples are from enterprises and organisations of a wide variety of sizes and from various sectors, all with a common goal: to create a culture of prevention and protect workers from dangerous substances.’</w:t>
      </w:r>
    </w:p>
    <w:p w14:paraId="0380C6EF" w14:textId="77777777" w:rsidR="00BA533E" w:rsidRPr="00BA533E" w:rsidRDefault="00BA533E" w:rsidP="00BA533E">
      <w:pPr>
        <w:spacing w:after="240"/>
        <w:rPr>
          <w:rFonts w:ascii="Verdana" w:eastAsia="Times New Roman" w:hAnsi="Verdana" w:cs="Times New Roman"/>
          <w:color w:val="000000"/>
          <w:sz w:val="22"/>
          <w:szCs w:val="22"/>
          <w:lang w:eastAsia="en-GB"/>
        </w:rPr>
      </w:pPr>
      <w:r w:rsidRPr="00BA533E">
        <w:rPr>
          <w:rFonts w:ascii="Verdana" w:eastAsia="Times New Roman" w:hAnsi="Verdana" w:cs="Times New Roman"/>
          <w:color w:val="000000"/>
          <w:sz w:val="22"/>
          <w:szCs w:val="22"/>
          <w:lang w:eastAsia="en-GB"/>
        </w:rPr>
        <w:t>Six organisations were awarded:</w:t>
      </w:r>
    </w:p>
    <w:p w14:paraId="7E5C779E" w14:textId="77777777" w:rsidR="00BA533E" w:rsidRPr="00D56F6B" w:rsidRDefault="00BA533E" w:rsidP="00BA533E">
      <w:pPr>
        <w:numPr>
          <w:ilvl w:val="0"/>
          <w:numId w:val="1"/>
        </w:numPr>
        <w:spacing w:before="100" w:beforeAutospacing="1" w:after="100" w:afterAutospacing="1"/>
        <w:ind w:left="0"/>
        <w:rPr>
          <w:rFonts w:ascii="Verdana" w:eastAsia="Times New Roman" w:hAnsi="Verdana" w:cs="Times New Roman"/>
          <w:color w:val="000000"/>
          <w:sz w:val="22"/>
          <w:szCs w:val="22"/>
          <w:highlight w:val="cyan"/>
          <w:lang w:eastAsia="en-GB"/>
        </w:rPr>
      </w:pPr>
      <w:r w:rsidRPr="00BA533E">
        <w:rPr>
          <w:rFonts w:ascii="Verdana" w:eastAsia="Times New Roman" w:hAnsi="Verdana" w:cs="Times New Roman"/>
          <w:color w:val="000000"/>
          <w:sz w:val="22"/>
          <w:szCs w:val="22"/>
          <w:lang w:eastAsia="en-GB"/>
        </w:rPr>
        <w:t>the </w:t>
      </w:r>
      <w:r w:rsidRPr="00BA533E">
        <w:rPr>
          <w:rFonts w:ascii="Verdana" w:eastAsia="Times New Roman" w:hAnsi="Verdana" w:cs="Times New Roman"/>
          <w:b/>
          <w:bCs/>
          <w:color w:val="000000"/>
          <w:sz w:val="22"/>
          <w:szCs w:val="22"/>
          <w:lang w:eastAsia="en-GB"/>
        </w:rPr>
        <w:t>Czech</w:t>
      </w:r>
      <w:r w:rsidRPr="00BA533E">
        <w:rPr>
          <w:rFonts w:ascii="Verdana" w:eastAsia="Times New Roman" w:hAnsi="Verdana" w:cs="Times New Roman"/>
          <w:color w:val="000000"/>
          <w:sz w:val="22"/>
          <w:szCs w:val="22"/>
          <w:lang w:eastAsia="en-GB"/>
        </w:rPr>
        <w:t> pharmaceutical company </w:t>
      </w:r>
      <w:r w:rsidRPr="00BA533E">
        <w:rPr>
          <w:rFonts w:ascii="Verdana" w:eastAsia="Times New Roman" w:hAnsi="Verdana" w:cs="Times New Roman"/>
          <w:b/>
          <w:bCs/>
          <w:color w:val="000000"/>
          <w:sz w:val="22"/>
          <w:szCs w:val="22"/>
          <w:lang w:eastAsia="en-GB"/>
        </w:rPr>
        <w:t>VAKOS XT, a.s.</w:t>
      </w:r>
      <w:r w:rsidRPr="00BA533E">
        <w:rPr>
          <w:rFonts w:ascii="Verdana" w:eastAsia="Times New Roman" w:hAnsi="Verdana" w:cs="Times New Roman"/>
          <w:color w:val="000000"/>
          <w:sz w:val="22"/>
          <w:szCs w:val="22"/>
          <w:lang w:eastAsia="en-GB"/>
        </w:rPr>
        <w:t xml:space="preserve">, which worked with the Ministry of the Interior to develop a programme of measures </w:t>
      </w:r>
      <w:r w:rsidRPr="00D56F6B">
        <w:rPr>
          <w:rFonts w:ascii="Verdana" w:eastAsia="Times New Roman" w:hAnsi="Verdana" w:cs="Times New Roman"/>
          <w:color w:val="000000"/>
          <w:sz w:val="22"/>
          <w:szCs w:val="22"/>
          <w:highlight w:val="cyan"/>
          <w:lang w:eastAsia="en-GB"/>
        </w:rPr>
        <w:t>to protect public service personnel from exposure to illegal narcotics during police actions in illegal drug laboratories, etc.;</w:t>
      </w:r>
    </w:p>
    <w:p w14:paraId="3C65DC77" w14:textId="77777777" w:rsidR="00BA533E" w:rsidRPr="00BA533E" w:rsidRDefault="00BA533E" w:rsidP="00BA533E">
      <w:pPr>
        <w:numPr>
          <w:ilvl w:val="0"/>
          <w:numId w:val="1"/>
        </w:numPr>
        <w:spacing w:before="100" w:beforeAutospacing="1" w:after="100" w:afterAutospacing="1"/>
        <w:ind w:left="0"/>
        <w:rPr>
          <w:rFonts w:ascii="Verdana" w:eastAsia="Times New Roman" w:hAnsi="Verdana" w:cs="Times New Roman"/>
          <w:color w:val="000000"/>
          <w:sz w:val="22"/>
          <w:szCs w:val="22"/>
          <w:lang w:eastAsia="en-GB"/>
        </w:rPr>
      </w:pPr>
      <w:r w:rsidRPr="00BA533E">
        <w:rPr>
          <w:rFonts w:ascii="Verdana" w:eastAsia="Times New Roman" w:hAnsi="Verdana" w:cs="Times New Roman"/>
          <w:b/>
          <w:bCs/>
          <w:color w:val="000000"/>
          <w:sz w:val="22"/>
          <w:szCs w:val="22"/>
          <w:lang w:eastAsia="en-GB"/>
        </w:rPr>
        <w:t>Eiffage Infrastructures</w:t>
      </w:r>
      <w:r w:rsidRPr="00BA533E">
        <w:rPr>
          <w:rFonts w:ascii="Verdana" w:eastAsia="Times New Roman" w:hAnsi="Verdana" w:cs="Times New Roman"/>
          <w:color w:val="000000"/>
          <w:sz w:val="22"/>
          <w:szCs w:val="22"/>
          <w:lang w:eastAsia="en-GB"/>
        </w:rPr>
        <w:t>, a large </w:t>
      </w:r>
      <w:r w:rsidRPr="00BA533E">
        <w:rPr>
          <w:rFonts w:ascii="Verdana" w:eastAsia="Times New Roman" w:hAnsi="Verdana" w:cs="Times New Roman"/>
          <w:b/>
          <w:bCs/>
          <w:color w:val="000000"/>
          <w:sz w:val="22"/>
          <w:szCs w:val="22"/>
          <w:lang w:eastAsia="en-GB"/>
        </w:rPr>
        <w:t>French</w:t>
      </w:r>
      <w:r w:rsidRPr="00BA533E">
        <w:rPr>
          <w:rFonts w:ascii="Verdana" w:eastAsia="Times New Roman" w:hAnsi="Verdana" w:cs="Times New Roman"/>
          <w:color w:val="000000"/>
          <w:sz w:val="22"/>
          <w:szCs w:val="22"/>
          <w:lang w:eastAsia="en-GB"/>
        </w:rPr>
        <w:t xml:space="preserve"> company in the road construction and maintenance sector that developed </w:t>
      </w:r>
      <w:r w:rsidRPr="00D56F6B">
        <w:rPr>
          <w:rFonts w:ascii="Verdana" w:eastAsia="Times New Roman" w:hAnsi="Verdana" w:cs="Times New Roman"/>
          <w:color w:val="000000"/>
          <w:sz w:val="22"/>
          <w:szCs w:val="22"/>
          <w:highlight w:val="cyan"/>
          <w:lang w:eastAsia="en-GB"/>
        </w:rPr>
        <w:t>a new technique to completely eliminate the use of hazardous solvents in its analytical laboratories;</w:t>
      </w:r>
    </w:p>
    <w:p w14:paraId="2AC782A5" w14:textId="77777777" w:rsidR="00BA533E" w:rsidRPr="00BA533E" w:rsidRDefault="00BA533E" w:rsidP="00BA533E">
      <w:pPr>
        <w:numPr>
          <w:ilvl w:val="0"/>
          <w:numId w:val="1"/>
        </w:numPr>
        <w:spacing w:before="100" w:beforeAutospacing="1" w:after="100" w:afterAutospacing="1"/>
        <w:ind w:left="0"/>
        <w:rPr>
          <w:rFonts w:ascii="Verdana" w:eastAsia="Times New Roman" w:hAnsi="Verdana" w:cs="Times New Roman"/>
          <w:color w:val="000000"/>
          <w:sz w:val="22"/>
          <w:szCs w:val="22"/>
          <w:lang w:eastAsia="en-GB"/>
        </w:rPr>
      </w:pPr>
      <w:r w:rsidRPr="00BA533E">
        <w:rPr>
          <w:rFonts w:ascii="Verdana" w:eastAsia="Times New Roman" w:hAnsi="Verdana" w:cs="Times New Roman"/>
          <w:color w:val="000000"/>
          <w:sz w:val="22"/>
          <w:szCs w:val="22"/>
          <w:lang w:eastAsia="en-GB"/>
        </w:rPr>
        <w:t>the </w:t>
      </w:r>
      <w:r w:rsidRPr="00BA533E">
        <w:rPr>
          <w:rFonts w:ascii="Verdana" w:eastAsia="Times New Roman" w:hAnsi="Verdana" w:cs="Times New Roman"/>
          <w:b/>
          <w:bCs/>
          <w:color w:val="000000"/>
          <w:sz w:val="22"/>
          <w:szCs w:val="22"/>
          <w:lang w:eastAsia="en-GB"/>
        </w:rPr>
        <w:t>German Federal Association of Glazier Trades</w:t>
      </w:r>
      <w:r w:rsidRPr="00BA533E">
        <w:rPr>
          <w:rFonts w:ascii="Verdana" w:eastAsia="Times New Roman" w:hAnsi="Verdana" w:cs="Times New Roman"/>
          <w:color w:val="000000"/>
          <w:sz w:val="22"/>
          <w:szCs w:val="22"/>
          <w:lang w:eastAsia="en-GB"/>
        </w:rPr>
        <w:t>, which developed and facilitated the implementation of a safe and economical technique for the handling of asbestos-containing materials;</w:t>
      </w:r>
    </w:p>
    <w:p w14:paraId="42EBBD5F" w14:textId="77777777" w:rsidR="00BA533E" w:rsidRPr="00BA533E" w:rsidRDefault="00BA533E" w:rsidP="00BA533E">
      <w:pPr>
        <w:numPr>
          <w:ilvl w:val="0"/>
          <w:numId w:val="1"/>
        </w:numPr>
        <w:spacing w:before="100" w:beforeAutospacing="1" w:after="100" w:afterAutospacing="1"/>
        <w:ind w:left="0"/>
        <w:rPr>
          <w:rFonts w:ascii="Verdana" w:eastAsia="Times New Roman" w:hAnsi="Verdana" w:cs="Times New Roman"/>
          <w:color w:val="000000"/>
          <w:sz w:val="22"/>
          <w:szCs w:val="22"/>
          <w:lang w:eastAsia="en-GB"/>
        </w:rPr>
      </w:pPr>
      <w:r w:rsidRPr="00BA533E">
        <w:rPr>
          <w:rFonts w:ascii="Verdana" w:eastAsia="Times New Roman" w:hAnsi="Verdana" w:cs="Times New Roman"/>
          <w:b/>
          <w:bCs/>
          <w:color w:val="000000"/>
          <w:sz w:val="22"/>
          <w:szCs w:val="22"/>
          <w:lang w:eastAsia="en-GB"/>
        </w:rPr>
        <w:lastRenderedPageBreak/>
        <w:t>Peluquería Elvira</w:t>
      </w:r>
      <w:r w:rsidRPr="00BA533E">
        <w:rPr>
          <w:rFonts w:ascii="Verdana" w:eastAsia="Times New Roman" w:hAnsi="Verdana" w:cs="Times New Roman"/>
          <w:color w:val="000000"/>
          <w:sz w:val="22"/>
          <w:szCs w:val="22"/>
          <w:lang w:eastAsia="en-GB"/>
        </w:rPr>
        <w:t>, a small hairdressing and beauty salon that eliminated hazardous substances and also transformed working conditions in other salons throughout </w:t>
      </w:r>
      <w:r w:rsidRPr="00BA533E">
        <w:rPr>
          <w:rFonts w:ascii="Verdana" w:eastAsia="Times New Roman" w:hAnsi="Verdana" w:cs="Times New Roman"/>
          <w:b/>
          <w:bCs/>
          <w:color w:val="000000"/>
          <w:sz w:val="22"/>
          <w:szCs w:val="22"/>
          <w:lang w:eastAsia="en-GB"/>
        </w:rPr>
        <w:t>Spain</w:t>
      </w:r>
      <w:r w:rsidRPr="00BA533E">
        <w:rPr>
          <w:rFonts w:ascii="Verdana" w:eastAsia="Times New Roman" w:hAnsi="Verdana" w:cs="Times New Roman"/>
          <w:color w:val="000000"/>
          <w:sz w:val="22"/>
          <w:szCs w:val="22"/>
          <w:lang w:eastAsia="en-GB"/>
        </w:rPr>
        <w:t>;</w:t>
      </w:r>
    </w:p>
    <w:p w14:paraId="68CCBFA6" w14:textId="77777777" w:rsidR="00BA533E" w:rsidRPr="00BA533E" w:rsidRDefault="00BA533E" w:rsidP="00BA533E">
      <w:pPr>
        <w:numPr>
          <w:ilvl w:val="0"/>
          <w:numId w:val="1"/>
        </w:numPr>
        <w:spacing w:before="100" w:beforeAutospacing="1" w:after="100" w:afterAutospacing="1"/>
        <w:ind w:left="0"/>
        <w:rPr>
          <w:rFonts w:ascii="Verdana" w:eastAsia="Times New Roman" w:hAnsi="Verdana" w:cs="Times New Roman"/>
          <w:color w:val="000000"/>
          <w:sz w:val="22"/>
          <w:szCs w:val="22"/>
          <w:lang w:eastAsia="en-GB"/>
        </w:rPr>
      </w:pPr>
      <w:r w:rsidRPr="00BA533E">
        <w:rPr>
          <w:rFonts w:ascii="Verdana" w:eastAsia="Times New Roman" w:hAnsi="Verdana" w:cs="Times New Roman"/>
          <w:b/>
          <w:bCs/>
          <w:color w:val="000000"/>
          <w:sz w:val="22"/>
          <w:szCs w:val="22"/>
          <w:lang w:eastAsia="en-GB"/>
        </w:rPr>
        <w:t>Atlas Copco Industrial Technique AB</w:t>
      </w:r>
      <w:r w:rsidRPr="00BA533E">
        <w:rPr>
          <w:rFonts w:ascii="Verdana" w:eastAsia="Times New Roman" w:hAnsi="Verdana" w:cs="Times New Roman"/>
          <w:color w:val="000000"/>
          <w:sz w:val="22"/>
          <w:szCs w:val="22"/>
          <w:lang w:eastAsia="en-GB"/>
        </w:rPr>
        <w:t>, a manufacturing company from </w:t>
      </w:r>
      <w:r w:rsidRPr="00BA533E">
        <w:rPr>
          <w:rFonts w:ascii="Verdana" w:eastAsia="Times New Roman" w:hAnsi="Verdana" w:cs="Times New Roman"/>
          <w:b/>
          <w:bCs/>
          <w:color w:val="000000"/>
          <w:sz w:val="22"/>
          <w:szCs w:val="22"/>
          <w:lang w:eastAsia="en-GB"/>
        </w:rPr>
        <w:t>Sweden</w:t>
      </w:r>
      <w:r w:rsidRPr="00BA533E">
        <w:rPr>
          <w:rFonts w:ascii="Verdana" w:eastAsia="Times New Roman" w:hAnsi="Verdana" w:cs="Times New Roman"/>
          <w:color w:val="000000"/>
          <w:sz w:val="22"/>
          <w:szCs w:val="22"/>
          <w:lang w:eastAsia="en-GB"/>
        </w:rPr>
        <w:t> that fostered a culture of participation and collaboration and implemented collective measures to protect workers from potentially hazardous carbon nanotubes;</w:t>
      </w:r>
    </w:p>
    <w:p w14:paraId="11E130DA" w14:textId="77777777" w:rsidR="00BA533E" w:rsidRPr="00BA533E" w:rsidRDefault="00BA533E" w:rsidP="00BA533E">
      <w:pPr>
        <w:numPr>
          <w:ilvl w:val="0"/>
          <w:numId w:val="1"/>
        </w:numPr>
        <w:spacing w:before="100" w:beforeAutospacing="1" w:after="100" w:afterAutospacing="1"/>
        <w:ind w:left="0"/>
        <w:rPr>
          <w:rFonts w:ascii="Verdana" w:eastAsia="Times New Roman" w:hAnsi="Verdana" w:cs="Times New Roman"/>
          <w:color w:val="000000"/>
          <w:sz w:val="22"/>
          <w:szCs w:val="22"/>
          <w:lang w:eastAsia="en-GB"/>
        </w:rPr>
      </w:pPr>
      <w:r w:rsidRPr="00BA533E">
        <w:rPr>
          <w:rFonts w:ascii="Verdana" w:eastAsia="Times New Roman" w:hAnsi="Verdana" w:cs="Times New Roman"/>
          <w:color w:val="000000"/>
          <w:sz w:val="22"/>
          <w:szCs w:val="22"/>
          <w:lang w:eastAsia="en-GB"/>
        </w:rPr>
        <w:t>a small farming business in </w:t>
      </w:r>
      <w:r w:rsidRPr="00BA533E">
        <w:rPr>
          <w:rFonts w:ascii="Verdana" w:eastAsia="Times New Roman" w:hAnsi="Verdana" w:cs="Times New Roman"/>
          <w:b/>
          <w:bCs/>
          <w:color w:val="000000"/>
          <w:sz w:val="22"/>
          <w:szCs w:val="22"/>
          <w:lang w:eastAsia="en-GB"/>
        </w:rPr>
        <w:t>the</w:t>
      </w:r>
      <w:r w:rsidRPr="00BA533E">
        <w:rPr>
          <w:rFonts w:ascii="Verdana" w:eastAsia="Times New Roman" w:hAnsi="Verdana" w:cs="Times New Roman"/>
          <w:color w:val="000000"/>
          <w:sz w:val="22"/>
          <w:szCs w:val="22"/>
          <w:lang w:eastAsia="en-GB"/>
        </w:rPr>
        <w:t> </w:t>
      </w:r>
      <w:r w:rsidRPr="00BA533E">
        <w:rPr>
          <w:rFonts w:ascii="Verdana" w:eastAsia="Times New Roman" w:hAnsi="Verdana" w:cs="Times New Roman"/>
          <w:b/>
          <w:bCs/>
          <w:color w:val="000000"/>
          <w:sz w:val="22"/>
          <w:szCs w:val="22"/>
          <w:lang w:eastAsia="en-GB"/>
        </w:rPr>
        <w:t>Netherlands</w:t>
      </w:r>
      <w:r w:rsidRPr="00BA533E">
        <w:rPr>
          <w:rFonts w:ascii="Verdana" w:eastAsia="Times New Roman" w:hAnsi="Verdana" w:cs="Times New Roman"/>
          <w:color w:val="000000"/>
          <w:sz w:val="22"/>
          <w:szCs w:val="22"/>
          <w:lang w:eastAsia="en-GB"/>
        </w:rPr>
        <w:t>,</w:t>
      </w:r>
      <w:r w:rsidRPr="00BA533E">
        <w:rPr>
          <w:rFonts w:ascii="Verdana" w:eastAsia="Times New Roman" w:hAnsi="Verdana" w:cs="Times New Roman"/>
          <w:b/>
          <w:bCs/>
          <w:color w:val="000000"/>
          <w:sz w:val="22"/>
          <w:szCs w:val="22"/>
          <w:lang w:eastAsia="en-GB"/>
        </w:rPr>
        <w:t> Mansholt BV</w:t>
      </w:r>
      <w:r w:rsidRPr="00BA533E">
        <w:rPr>
          <w:rFonts w:ascii="Verdana" w:eastAsia="Times New Roman" w:hAnsi="Verdana" w:cs="Times New Roman"/>
          <w:color w:val="000000"/>
          <w:sz w:val="22"/>
          <w:szCs w:val="22"/>
          <w:lang w:eastAsia="en-GB"/>
        </w:rPr>
        <w:t>, that, in collaboration with the national sectoral body for OSH, implemented a range of technical and organisational measures to protect workers from hazardous dust.</w:t>
      </w:r>
    </w:p>
    <w:p w14:paraId="071BE41B" w14:textId="77777777" w:rsidR="00BA533E" w:rsidRPr="00BA533E" w:rsidRDefault="00BA533E" w:rsidP="00BA533E">
      <w:pPr>
        <w:spacing w:after="240"/>
        <w:rPr>
          <w:rFonts w:ascii="Verdana" w:eastAsia="Times New Roman" w:hAnsi="Verdana" w:cs="Times New Roman"/>
          <w:color w:val="000000"/>
          <w:sz w:val="22"/>
          <w:szCs w:val="22"/>
          <w:lang w:eastAsia="en-GB"/>
        </w:rPr>
      </w:pPr>
      <w:r w:rsidRPr="00BA533E">
        <w:rPr>
          <w:rFonts w:ascii="Verdana" w:eastAsia="Times New Roman" w:hAnsi="Verdana" w:cs="Times New Roman"/>
          <w:color w:val="000000"/>
          <w:sz w:val="22"/>
          <w:szCs w:val="22"/>
          <w:lang w:eastAsia="en-GB"/>
        </w:rPr>
        <w:t>A further four organisations were commended: the </w:t>
      </w:r>
      <w:r w:rsidRPr="00BA533E">
        <w:rPr>
          <w:rFonts w:ascii="Verdana" w:eastAsia="Times New Roman" w:hAnsi="Verdana" w:cs="Times New Roman"/>
          <w:b/>
          <w:bCs/>
          <w:color w:val="000000"/>
          <w:sz w:val="22"/>
          <w:szCs w:val="22"/>
          <w:lang w:eastAsia="en-GB"/>
        </w:rPr>
        <w:t>Vienna Ombuds Office for Environmental Protection</w:t>
      </w:r>
      <w:r w:rsidRPr="00BA533E">
        <w:rPr>
          <w:rFonts w:ascii="Verdana" w:eastAsia="Times New Roman" w:hAnsi="Verdana" w:cs="Times New Roman"/>
          <w:color w:val="000000"/>
          <w:sz w:val="22"/>
          <w:szCs w:val="22"/>
          <w:lang w:eastAsia="en-GB"/>
        </w:rPr>
        <w:t>, Austria; the construction company </w:t>
      </w:r>
      <w:r w:rsidRPr="00BA533E">
        <w:rPr>
          <w:rFonts w:ascii="Verdana" w:eastAsia="Times New Roman" w:hAnsi="Verdana" w:cs="Times New Roman"/>
          <w:b/>
          <w:bCs/>
          <w:color w:val="000000"/>
          <w:sz w:val="22"/>
          <w:szCs w:val="22"/>
          <w:lang w:eastAsia="en-GB"/>
        </w:rPr>
        <w:t>BAM Ireland</w:t>
      </w:r>
      <w:r w:rsidRPr="00BA533E">
        <w:rPr>
          <w:rFonts w:ascii="Verdana" w:eastAsia="Times New Roman" w:hAnsi="Verdana" w:cs="Times New Roman"/>
          <w:color w:val="000000"/>
          <w:sz w:val="22"/>
          <w:szCs w:val="22"/>
          <w:lang w:eastAsia="en-GB"/>
        </w:rPr>
        <w:t>, Ireland; </w:t>
      </w:r>
      <w:r w:rsidRPr="00BA533E">
        <w:rPr>
          <w:rFonts w:ascii="Verdana" w:eastAsia="Times New Roman" w:hAnsi="Verdana" w:cs="Times New Roman"/>
          <w:b/>
          <w:bCs/>
          <w:color w:val="000000"/>
          <w:sz w:val="22"/>
          <w:szCs w:val="22"/>
          <w:lang w:eastAsia="en-GB"/>
        </w:rPr>
        <w:t>Gorenje, d.d.</w:t>
      </w:r>
      <w:r w:rsidRPr="00BA533E">
        <w:rPr>
          <w:rFonts w:ascii="Verdana" w:eastAsia="Times New Roman" w:hAnsi="Verdana" w:cs="Times New Roman"/>
          <w:color w:val="000000"/>
          <w:sz w:val="22"/>
          <w:szCs w:val="22"/>
          <w:lang w:eastAsia="en-GB"/>
        </w:rPr>
        <w:t>, a Slovenian manufacturing company; and the </w:t>
      </w:r>
      <w:r w:rsidRPr="00BA533E">
        <w:rPr>
          <w:rFonts w:ascii="Verdana" w:eastAsia="Times New Roman" w:hAnsi="Verdana" w:cs="Times New Roman"/>
          <w:b/>
          <w:bCs/>
          <w:color w:val="000000"/>
          <w:sz w:val="22"/>
          <w:szCs w:val="22"/>
          <w:lang w:eastAsia="en-GB"/>
        </w:rPr>
        <w:t>British Occupational Hygiene Society</w:t>
      </w:r>
      <w:r w:rsidRPr="00BA533E">
        <w:rPr>
          <w:rFonts w:ascii="Verdana" w:eastAsia="Times New Roman" w:hAnsi="Verdana" w:cs="Times New Roman"/>
          <w:color w:val="000000"/>
          <w:sz w:val="22"/>
          <w:szCs w:val="22"/>
          <w:lang w:eastAsia="en-GB"/>
        </w:rPr>
        <w:t>, United Kingdom.</w:t>
      </w:r>
    </w:p>
    <w:p w14:paraId="540A892B" w14:textId="77777777" w:rsidR="00BA533E" w:rsidRPr="00BA533E" w:rsidRDefault="00BA533E" w:rsidP="00BA533E">
      <w:pPr>
        <w:spacing w:after="240"/>
        <w:rPr>
          <w:rFonts w:ascii="Verdana" w:eastAsia="Times New Roman" w:hAnsi="Verdana" w:cs="Times New Roman"/>
          <w:color w:val="000000"/>
          <w:sz w:val="22"/>
          <w:szCs w:val="22"/>
          <w:lang w:eastAsia="en-GB"/>
        </w:rPr>
      </w:pPr>
      <w:r w:rsidRPr="00D56F6B">
        <w:rPr>
          <w:rFonts w:ascii="Verdana" w:eastAsia="Times New Roman" w:hAnsi="Verdana" w:cs="Times New Roman"/>
          <w:color w:val="000000"/>
          <w:sz w:val="22"/>
          <w:szCs w:val="22"/>
          <w:highlight w:val="darkGray"/>
          <w:lang w:eastAsia="en-GB"/>
        </w:rPr>
        <w:t>Entries were first judged at national level and up to two winners from each country were nominated for the pan-European competition. The European jury looked at how good practices were implemented, how </w:t>
      </w:r>
      <w:r w:rsidRPr="00D56F6B">
        <w:rPr>
          <w:rFonts w:ascii="Verdana" w:eastAsia="Times New Roman" w:hAnsi="Verdana" w:cs="Times New Roman"/>
          <w:b/>
          <w:bCs/>
          <w:color w:val="000000"/>
          <w:sz w:val="22"/>
          <w:szCs w:val="22"/>
          <w:highlight w:val="darkGray"/>
          <w:lang w:eastAsia="en-GB"/>
        </w:rPr>
        <w:t>risk assessment</w:t>
      </w:r>
      <w:r w:rsidRPr="00D56F6B">
        <w:rPr>
          <w:rFonts w:ascii="Verdana" w:eastAsia="Times New Roman" w:hAnsi="Verdana" w:cs="Times New Roman"/>
          <w:color w:val="000000"/>
          <w:sz w:val="22"/>
          <w:szCs w:val="22"/>
          <w:highlight w:val="darkGray"/>
          <w:lang w:eastAsia="en-GB"/>
        </w:rPr>
        <w:t> was carried out and how the </w:t>
      </w:r>
      <w:hyperlink r:id="rId7" w:tgtFrame="_blank" w:history="1">
        <w:r w:rsidRPr="00D56F6B">
          <w:rPr>
            <w:rFonts w:ascii="Arial" w:eastAsia="Times New Roman" w:hAnsi="Arial" w:cs="Arial"/>
            <w:b/>
            <w:bCs/>
            <w:color w:val="003399"/>
            <w:sz w:val="22"/>
            <w:szCs w:val="22"/>
            <w:highlight w:val="darkGray"/>
            <w:lang w:eastAsia="en-GB"/>
          </w:rPr>
          <w:t>STOP principle</w:t>
        </w:r>
        <w:r w:rsidRPr="00D56F6B">
          <w:rPr>
            <w:rFonts w:ascii="Arial" w:eastAsia="Times New Roman" w:hAnsi="Arial" w:cs="Arial"/>
            <w:color w:val="003399"/>
            <w:sz w:val="22"/>
            <w:szCs w:val="22"/>
            <w:highlight w:val="darkGray"/>
            <w:lang w:eastAsia="en-GB"/>
          </w:rPr>
          <w:t> </w:t>
        </w:r>
      </w:hyperlink>
      <w:r w:rsidRPr="00D56F6B">
        <w:rPr>
          <w:rFonts w:ascii="Verdana" w:eastAsia="Times New Roman" w:hAnsi="Verdana" w:cs="Times New Roman"/>
          <w:color w:val="000000"/>
          <w:sz w:val="22"/>
          <w:szCs w:val="22"/>
          <w:highlight w:val="darkGray"/>
          <w:lang w:eastAsia="en-GB"/>
        </w:rPr>
        <w:t> was followed — that is, how a hierarchical approach to prevention, prioritising substitution, followed by technical, organisational and, finally, personal protective measures, was taken. The jury also considered whether or not interventions lead to </w:t>
      </w:r>
      <w:r w:rsidRPr="00D56F6B">
        <w:rPr>
          <w:rFonts w:ascii="Verdana" w:eastAsia="Times New Roman" w:hAnsi="Verdana" w:cs="Times New Roman"/>
          <w:b/>
          <w:bCs/>
          <w:color w:val="000000"/>
          <w:sz w:val="22"/>
          <w:szCs w:val="22"/>
          <w:highlight w:val="darkGray"/>
          <w:lang w:eastAsia="en-GB"/>
        </w:rPr>
        <w:t>real and demonstrable improvements</w:t>
      </w:r>
      <w:r w:rsidRPr="00D56F6B">
        <w:rPr>
          <w:rFonts w:ascii="Verdana" w:eastAsia="Times New Roman" w:hAnsi="Verdana" w:cs="Times New Roman"/>
          <w:color w:val="000000"/>
          <w:sz w:val="22"/>
          <w:szCs w:val="22"/>
          <w:highlight w:val="darkGray"/>
          <w:lang w:eastAsia="en-GB"/>
        </w:rPr>
        <w:t> in OSH through a </w:t>
      </w:r>
      <w:r w:rsidRPr="00D56F6B">
        <w:rPr>
          <w:rFonts w:ascii="Verdana" w:eastAsia="Times New Roman" w:hAnsi="Verdana" w:cs="Times New Roman"/>
          <w:b/>
          <w:bCs/>
          <w:color w:val="000000"/>
          <w:sz w:val="22"/>
          <w:szCs w:val="22"/>
          <w:highlight w:val="darkGray"/>
          <w:lang w:eastAsia="en-GB"/>
        </w:rPr>
        <w:t>holistic approach</w:t>
      </w:r>
      <w:r w:rsidRPr="00D56F6B">
        <w:rPr>
          <w:rFonts w:ascii="Verdana" w:eastAsia="Times New Roman" w:hAnsi="Verdana" w:cs="Times New Roman"/>
          <w:color w:val="000000"/>
          <w:sz w:val="22"/>
          <w:szCs w:val="22"/>
          <w:highlight w:val="darkGray"/>
          <w:lang w:eastAsia="en-GB"/>
        </w:rPr>
        <w:t> involving </w:t>
      </w:r>
      <w:r w:rsidRPr="00D56F6B">
        <w:rPr>
          <w:rFonts w:ascii="Verdana" w:eastAsia="Times New Roman" w:hAnsi="Verdana" w:cs="Times New Roman"/>
          <w:b/>
          <w:bCs/>
          <w:color w:val="000000"/>
          <w:sz w:val="22"/>
          <w:szCs w:val="22"/>
          <w:highlight w:val="darkGray"/>
          <w:lang w:eastAsia="en-GB"/>
        </w:rPr>
        <w:t>worker participation</w:t>
      </w:r>
      <w:r w:rsidRPr="00D56F6B">
        <w:rPr>
          <w:rFonts w:ascii="Verdana" w:eastAsia="Times New Roman" w:hAnsi="Verdana" w:cs="Times New Roman"/>
          <w:color w:val="000000"/>
          <w:sz w:val="22"/>
          <w:szCs w:val="22"/>
          <w:highlight w:val="darkGray"/>
          <w:lang w:eastAsia="en-GB"/>
        </w:rPr>
        <w:t> and the </w:t>
      </w:r>
      <w:r w:rsidRPr="00D56F6B">
        <w:rPr>
          <w:rFonts w:ascii="Verdana" w:eastAsia="Times New Roman" w:hAnsi="Verdana" w:cs="Times New Roman"/>
          <w:b/>
          <w:bCs/>
          <w:color w:val="000000"/>
          <w:sz w:val="22"/>
          <w:szCs w:val="22"/>
          <w:highlight w:val="darkGray"/>
          <w:lang w:eastAsia="en-GB"/>
        </w:rPr>
        <w:t>commitment of management</w:t>
      </w:r>
      <w:r w:rsidRPr="00D56F6B">
        <w:rPr>
          <w:rFonts w:ascii="Verdana" w:eastAsia="Times New Roman" w:hAnsi="Verdana" w:cs="Times New Roman"/>
          <w:color w:val="000000"/>
          <w:sz w:val="22"/>
          <w:szCs w:val="22"/>
          <w:highlight w:val="darkGray"/>
          <w:lang w:eastAsia="en-GB"/>
        </w:rPr>
        <w:t>. The interventions selected are </w:t>
      </w:r>
      <w:r w:rsidRPr="00D56F6B">
        <w:rPr>
          <w:rFonts w:ascii="Verdana" w:eastAsia="Times New Roman" w:hAnsi="Verdana" w:cs="Times New Roman"/>
          <w:b/>
          <w:bCs/>
          <w:color w:val="000000"/>
          <w:sz w:val="22"/>
          <w:szCs w:val="22"/>
          <w:highlight w:val="darkGray"/>
          <w:lang w:eastAsia="en-GB"/>
        </w:rPr>
        <w:t>sustainable</w:t>
      </w:r>
      <w:r w:rsidRPr="00D56F6B">
        <w:rPr>
          <w:rFonts w:ascii="Verdana" w:eastAsia="Times New Roman" w:hAnsi="Verdana" w:cs="Times New Roman"/>
          <w:color w:val="000000"/>
          <w:sz w:val="22"/>
          <w:szCs w:val="22"/>
          <w:highlight w:val="darkGray"/>
          <w:lang w:eastAsia="en-GB"/>
        </w:rPr>
        <w:t> over time, </w:t>
      </w:r>
      <w:r w:rsidRPr="00D56F6B">
        <w:rPr>
          <w:rFonts w:ascii="Verdana" w:eastAsia="Times New Roman" w:hAnsi="Verdana" w:cs="Times New Roman"/>
          <w:b/>
          <w:bCs/>
          <w:color w:val="000000"/>
          <w:sz w:val="22"/>
          <w:szCs w:val="22"/>
          <w:highlight w:val="darkGray"/>
          <w:lang w:eastAsia="en-GB"/>
        </w:rPr>
        <w:t>transferable</w:t>
      </w:r>
      <w:r w:rsidRPr="00D56F6B">
        <w:rPr>
          <w:rFonts w:ascii="Verdana" w:eastAsia="Times New Roman" w:hAnsi="Verdana" w:cs="Times New Roman"/>
          <w:color w:val="000000"/>
          <w:sz w:val="22"/>
          <w:szCs w:val="22"/>
          <w:highlight w:val="darkGray"/>
          <w:lang w:eastAsia="en-GB"/>
        </w:rPr>
        <w:t> to other organisations or Member States, and go above and beyond</w:t>
      </w:r>
      <w:r w:rsidRPr="00D56F6B">
        <w:rPr>
          <w:rFonts w:ascii="Verdana" w:eastAsia="Times New Roman" w:hAnsi="Verdana" w:cs="Times New Roman"/>
          <w:b/>
          <w:bCs/>
          <w:color w:val="000000"/>
          <w:sz w:val="22"/>
          <w:szCs w:val="22"/>
          <w:highlight w:val="darkGray"/>
          <w:lang w:eastAsia="en-GB"/>
        </w:rPr>
        <w:t> national legislative requirements</w:t>
      </w:r>
      <w:r w:rsidRPr="00D56F6B">
        <w:rPr>
          <w:rFonts w:ascii="Verdana" w:eastAsia="Times New Roman" w:hAnsi="Verdana" w:cs="Times New Roman"/>
          <w:color w:val="000000"/>
          <w:sz w:val="22"/>
          <w:szCs w:val="22"/>
          <w:highlight w:val="darkGray"/>
          <w:lang w:eastAsia="en-GB"/>
        </w:rPr>
        <w:t>.</w:t>
      </w:r>
    </w:p>
    <w:p w14:paraId="333D1AA7" w14:textId="77777777" w:rsidR="00BA533E" w:rsidRPr="00BA533E" w:rsidRDefault="00BA533E" w:rsidP="00BA533E">
      <w:pPr>
        <w:spacing w:after="240"/>
        <w:rPr>
          <w:rFonts w:ascii="Verdana" w:eastAsia="Times New Roman" w:hAnsi="Verdana" w:cs="Times New Roman"/>
          <w:color w:val="000000"/>
          <w:sz w:val="22"/>
          <w:szCs w:val="22"/>
          <w:lang w:eastAsia="en-GB"/>
        </w:rPr>
      </w:pPr>
      <w:r w:rsidRPr="00BA533E">
        <w:rPr>
          <w:rFonts w:ascii="Verdana" w:eastAsia="Times New Roman" w:hAnsi="Verdana" w:cs="Times New Roman"/>
          <w:color w:val="000000"/>
          <w:sz w:val="22"/>
          <w:szCs w:val="22"/>
          <w:lang w:eastAsia="en-GB"/>
        </w:rPr>
        <w:t>To celebrate these organisations’ contributions to improving safety and health and to raise awareness of the good practices implemented, each of the awarded organisations will receive a trophy and each of the commended organisations will receive a certificate at a </w:t>
      </w:r>
      <w:r w:rsidRPr="00BA533E">
        <w:rPr>
          <w:rFonts w:ascii="Verdana" w:eastAsia="Times New Roman" w:hAnsi="Verdana" w:cs="Times New Roman"/>
          <w:b/>
          <w:bCs/>
          <w:color w:val="000000"/>
          <w:sz w:val="22"/>
          <w:szCs w:val="22"/>
          <w:lang w:eastAsia="en-GB"/>
        </w:rPr>
        <w:t>special</w:t>
      </w:r>
      <w:r w:rsidRPr="00BA533E">
        <w:rPr>
          <w:rFonts w:ascii="Verdana" w:eastAsia="Times New Roman" w:hAnsi="Verdana" w:cs="Times New Roman"/>
          <w:color w:val="000000"/>
          <w:sz w:val="22"/>
          <w:szCs w:val="22"/>
          <w:lang w:eastAsia="en-GB"/>
        </w:rPr>
        <w:t> </w:t>
      </w:r>
      <w:r w:rsidRPr="00BA533E">
        <w:rPr>
          <w:rFonts w:ascii="Verdana" w:eastAsia="Times New Roman" w:hAnsi="Verdana" w:cs="Times New Roman"/>
          <w:b/>
          <w:bCs/>
          <w:color w:val="000000"/>
          <w:sz w:val="22"/>
          <w:szCs w:val="22"/>
          <w:lang w:eastAsia="en-GB"/>
        </w:rPr>
        <w:t>ceremony</w:t>
      </w:r>
      <w:r w:rsidRPr="00BA533E">
        <w:rPr>
          <w:rFonts w:ascii="Verdana" w:eastAsia="Times New Roman" w:hAnsi="Verdana" w:cs="Times New Roman"/>
          <w:color w:val="000000"/>
          <w:sz w:val="22"/>
          <w:szCs w:val="22"/>
          <w:lang w:eastAsia="en-GB"/>
        </w:rPr>
        <w:t> at the </w:t>
      </w:r>
      <w:r w:rsidRPr="00BA533E">
        <w:rPr>
          <w:rFonts w:ascii="Verdana" w:eastAsia="Times New Roman" w:hAnsi="Verdana" w:cs="Times New Roman"/>
          <w:b/>
          <w:bCs/>
          <w:color w:val="000000"/>
          <w:sz w:val="22"/>
          <w:szCs w:val="22"/>
          <w:lang w:eastAsia="en-GB"/>
        </w:rPr>
        <w:t>Healthy Workplaces Summit</w:t>
      </w:r>
      <w:r w:rsidRPr="00BA533E">
        <w:rPr>
          <w:rFonts w:ascii="Verdana" w:eastAsia="Times New Roman" w:hAnsi="Verdana" w:cs="Times New Roman"/>
          <w:color w:val="000000"/>
          <w:sz w:val="22"/>
          <w:szCs w:val="22"/>
          <w:lang w:eastAsia="en-GB"/>
        </w:rPr>
        <w:t>in Bilbao in November.</w:t>
      </w:r>
    </w:p>
    <w:p w14:paraId="4A343EF3" w14:textId="77777777" w:rsidR="00BA533E" w:rsidRPr="00BA533E" w:rsidRDefault="00DC0A22" w:rsidP="00BA533E">
      <w:pPr>
        <w:spacing w:after="240"/>
        <w:rPr>
          <w:rFonts w:ascii="Verdana" w:eastAsia="Times New Roman" w:hAnsi="Verdana" w:cs="Times New Roman"/>
          <w:color w:val="000000"/>
          <w:sz w:val="22"/>
          <w:szCs w:val="22"/>
          <w:lang w:eastAsia="en-GB"/>
        </w:rPr>
      </w:pPr>
      <w:hyperlink r:id="rId8" w:history="1">
        <w:r w:rsidR="00BA533E" w:rsidRPr="00BA533E">
          <w:rPr>
            <w:rFonts w:ascii="Arial" w:eastAsia="Times New Roman" w:hAnsi="Arial" w:cs="Arial"/>
            <w:color w:val="003399"/>
            <w:sz w:val="22"/>
            <w:szCs w:val="22"/>
            <w:u w:val="single"/>
            <w:lang w:eastAsia="en-GB"/>
          </w:rPr>
          <w:t>Learn about the awarded and commended examples in our Good Practice Awards booklet</w:t>
        </w:r>
      </w:hyperlink>
    </w:p>
    <w:p w14:paraId="515FD8A7" w14:textId="77777777" w:rsidR="00BA533E" w:rsidRPr="00BA533E" w:rsidRDefault="00DC0A22" w:rsidP="00BA533E">
      <w:pPr>
        <w:rPr>
          <w:rFonts w:ascii="Verdana" w:eastAsia="Times New Roman" w:hAnsi="Verdana" w:cs="Times New Roman"/>
          <w:color w:val="000000"/>
          <w:sz w:val="22"/>
          <w:szCs w:val="22"/>
          <w:lang w:eastAsia="en-GB"/>
        </w:rPr>
      </w:pPr>
      <w:hyperlink r:id="rId9" w:tgtFrame="_blank" w:history="1">
        <w:r w:rsidR="00BA533E" w:rsidRPr="00BA533E">
          <w:rPr>
            <w:rFonts w:ascii="Arial" w:eastAsia="Times New Roman" w:hAnsi="Arial" w:cs="Arial"/>
            <w:color w:val="003399"/>
            <w:sz w:val="22"/>
            <w:szCs w:val="22"/>
            <w:u w:val="single"/>
            <w:lang w:eastAsia="en-GB"/>
          </w:rPr>
          <w:t>Visit the Healthy Workplaces Manage Dangerous Substances website</w:t>
        </w:r>
        <w:r w:rsidR="00BA533E" w:rsidRPr="00BA533E">
          <w:rPr>
            <w:rFonts w:ascii="Arial" w:eastAsia="Times New Roman" w:hAnsi="Arial" w:cs="Arial"/>
            <w:color w:val="003399"/>
            <w:sz w:val="22"/>
            <w:szCs w:val="22"/>
            <w:lang w:eastAsia="en-GB"/>
          </w:rPr>
          <w:t> </w:t>
        </w:r>
      </w:hyperlink>
    </w:p>
    <w:p w14:paraId="675ACEA0" w14:textId="77777777" w:rsidR="004A259D" w:rsidRDefault="004A259D"/>
    <w:sectPr w:rsidR="004A259D"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9422D"/>
    <w:multiLevelType w:val="multilevel"/>
    <w:tmpl w:val="DCC8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59D"/>
    <w:rsid w:val="002D60FD"/>
    <w:rsid w:val="004A259D"/>
    <w:rsid w:val="00BA533E"/>
    <w:rsid w:val="00D56F6B"/>
    <w:rsid w:val="00DC0A2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6A40C98D"/>
  <w15:chartTrackingRefBased/>
  <w15:docId w15:val="{F35056B1-A403-9C47-A195-4B90CE123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A533E"/>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33E"/>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BA533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BA533E"/>
    <w:rPr>
      <w:b/>
      <w:bCs/>
    </w:rPr>
  </w:style>
  <w:style w:type="character" w:customStyle="1" w:styleId="apple-converted-space">
    <w:name w:val="apple-converted-space"/>
    <w:basedOn w:val="DefaultParagraphFont"/>
    <w:rsid w:val="00BA533E"/>
  </w:style>
  <w:style w:type="character" w:styleId="Hyperlink">
    <w:name w:val="Hyperlink"/>
    <w:basedOn w:val="DefaultParagraphFont"/>
    <w:uiPriority w:val="99"/>
    <w:semiHidden/>
    <w:unhideWhenUsed/>
    <w:rsid w:val="00BA533E"/>
    <w:rPr>
      <w:color w:val="0000FF"/>
      <w:u w:val="single"/>
    </w:rPr>
  </w:style>
  <w:style w:type="character" w:customStyle="1" w:styleId="oshatargetexternallink">
    <w:name w:val="osha_target_external_link"/>
    <w:basedOn w:val="DefaultParagraphFont"/>
    <w:rsid w:val="00BA533E"/>
  </w:style>
  <w:style w:type="character" w:styleId="Emphasis">
    <w:name w:val="Emphasis"/>
    <w:basedOn w:val="DefaultParagraphFont"/>
    <w:uiPriority w:val="20"/>
    <w:qFormat/>
    <w:rsid w:val="00BA533E"/>
    <w:rPr>
      <w:i/>
      <w:iCs/>
    </w:rPr>
  </w:style>
  <w:style w:type="paragraph" w:customStyle="1" w:styleId="06footnotesparagraphheadline">
    <w:name w:val="06footnotesparagraphheadline"/>
    <w:basedOn w:val="Normal"/>
    <w:rsid w:val="00BA533E"/>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6638443">
      <w:bodyDiv w:val="1"/>
      <w:marLeft w:val="0"/>
      <w:marRight w:val="0"/>
      <w:marTop w:val="0"/>
      <w:marBottom w:val="0"/>
      <w:divBdr>
        <w:top w:val="none" w:sz="0" w:space="0" w:color="auto"/>
        <w:left w:val="none" w:sz="0" w:space="0" w:color="auto"/>
        <w:bottom w:val="none" w:sz="0" w:space="0" w:color="auto"/>
        <w:right w:val="none" w:sz="0" w:space="0" w:color="auto"/>
      </w:divBdr>
      <w:divsChild>
        <w:div w:id="1250118693">
          <w:marLeft w:val="0"/>
          <w:marRight w:val="0"/>
          <w:marTop w:val="0"/>
          <w:marBottom w:val="0"/>
          <w:divBdr>
            <w:top w:val="none" w:sz="0" w:space="0" w:color="auto"/>
            <w:left w:val="none" w:sz="0" w:space="0" w:color="auto"/>
            <w:bottom w:val="none" w:sz="0" w:space="0" w:color="auto"/>
            <w:right w:val="none" w:sz="0" w:space="0" w:color="auto"/>
          </w:divBdr>
          <w:divsChild>
            <w:div w:id="1418748436">
              <w:marLeft w:val="0"/>
              <w:marRight w:val="0"/>
              <w:marTop w:val="0"/>
              <w:marBottom w:val="0"/>
              <w:divBdr>
                <w:top w:val="none" w:sz="0" w:space="0" w:color="auto"/>
                <w:left w:val="none" w:sz="0" w:space="0" w:color="auto"/>
                <w:bottom w:val="none" w:sz="0" w:space="0" w:color="auto"/>
                <w:right w:val="none" w:sz="0" w:space="0" w:color="auto"/>
              </w:divBdr>
              <w:divsChild>
                <w:div w:id="12397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4041">
          <w:marLeft w:val="0"/>
          <w:marRight w:val="0"/>
          <w:marTop w:val="0"/>
          <w:marBottom w:val="0"/>
          <w:divBdr>
            <w:top w:val="none" w:sz="0" w:space="0" w:color="auto"/>
            <w:left w:val="none" w:sz="0" w:space="0" w:color="auto"/>
            <w:bottom w:val="none" w:sz="0" w:space="0" w:color="auto"/>
            <w:right w:val="none" w:sz="0" w:space="0" w:color="auto"/>
          </w:divBdr>
          <w:divsChild>
            <w:div w:id="1664895211">
              <w:marLeft w:val="0"/>
              <w:marRight w:val="0"/>
              <w:marTop w:val="0"/>
              <w:marBottom w:val="0"/>
              <w:divBdr>
                <w:top w:val="none" w:sz="0" w:space="0" w:color="auto"/>
                <w:left w:val="none" w:sz="0" w:space="0" w:color="auto"/>
                <w:bottom w:val="none" w:sz="0" w:space="0" w:color="auto"/>
                <w:right w:val="none" w:sz="0" w:space="0" w:color="auto"/>
              </w:divBdr>
              <w:divsChild>
                <w:div w:id="100945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9615">
          <w:marLeft w:val="0"/>
          <w:marRight w:val="0"/>
          <w:marTop w:val="0"/>
          <w:marBottom w:val="225"/>
          <w:divBdr>
            <w:top w:val="none" w:sz="0" w:space="0" w:color="auto"/>
            <w:left w:val="none" w:sz="0" w:space="0" w:color="auto"/>
            <w:bottom w:val="none" w:sz="0" w:space="0" w:color="auto"/>
            <w:right w:val="none" w:sz="0" w:space="0" w:color="auto"/>
          </w:divBdr>
          <w:divsChild>
            <w:div w:id="1590889141">
              <w:marLeft w:val="0"/>
              <w:marRight w:val="0"/>
              <w:marTop w:val="0"/>
              <w:marBottom w:val="0"/>
              <w:divBdr>
                <w:top w:val="none" w:sz="0" w:space="0" w:color="auto"/>
                <w:left w:val="none" w:sz="0" w:space="0" w:color="auto"/>
                <w:bottom w:val="none" w:sz="0" w:space="0" w:color="auto"/>
                <w:right w:val="none" w:sz="0" w:space="0" w:color="auto"/>
              </w:divBdr>
              <w:divsChild>
                <w:div w:id="199414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647">
          <w:marLeft w:val="0"/>
          <w:marRight w:val="0"/>
          <w:marTop w:val="0"/>
          <w:marBottom w:val="0"/>
          <w:divBdr>
            <w:top w:val="none" w:sz="0" w:space="0" w:color="auto"/>
            <w:left w:val="none" w:sz="0" w:space="0" w:color="auto"/>
            <w:bottom w:val="none" w:sz="0" w:space="0" w:color="auto"/>
            <w:right w:val="none" w:sz="0" w:space="0" w:color="auto"/>
          </w:divBdr>
          <w:divsChild>
            <w:div w:id="1582374344">
              <w:marLeft w:val="0"/>
              <w:marRight w:val="0"/>
              <w:marTop w:val="0"/>
              <w:marBottom w:val="0"/>
              <w:divBdr>
                <w:top w:val="none" w:sz="0" w:space="0" w:color="auto"/>
                <w:left w:val="none" w:sz="0" w:space="0" w:color="auto"/>
                <w:bottom w:val="none" w:sz="0" w:space="0" w:color="auto"/>
                <w:right w:val="none" w:sz="0" w:space="0" w:color="auto"/>
              </w:divBdr>
              <w:divsChild>
                <w:div w:id="1482574125">
                  <w:marLeft w:val="0"/>
                  <w:marRight w:val="0"/>
                  <w:marTop w:val="0"/>
                  <w:marBottom w:val="0"/>
                  <w:divBdr>
                    <w:top w:val="none" w:sz="0" w:space="0" w:color="auto"/>
                    <w:left w:val="none" w:sz="0" w:space="0" w:color="auto"/>
                    <w:bottom w:val="none" w:sz="0" w:space="0" w:color="auto"/>
                    <w:right w:val="none" w:sz="0" w:space="0" w:color="auto"/>
                  </w:divBdr>
                  <w:divsChild>
                    <w:div w:id="586427821">
                      <w:marLeft w:val="0"/>
                      <w:marRight w:val="0"/>
                      <w:marTop w:val="240"/>
                      <w:marBottom w:val="240"/>
                      <w:divBdr>
                        <w:top w:val="single" w:sz="36" w:space="24" w:color="536E91"/>
                        <w:left w:val="none" w:sz="0" w:space="0" w:color="auto"/>
                        <w:bottom w:val="single" w:sz="36" w:space="24" w:color="536E91"/>
                        <w:right w:val="none" w:sz="0" w:space="0" w:color="auto"/>
                      </w:divBdr>
                    </w:div>
                  </w:divsChild>
                </w:div>
              </w:divsChild>
            </w:div>
          </w:divsChild>
        </w:div>
        <w:div w:id="627123006">
          <w:marLeft w:val="0"/>
          <w:marRight w:val="0"/>
          <w:marTop w:val="0"/>
          <w:marBottom w:val="0"/>
          <w:divBdr>
            <w:top w:val="none" w:sz="0" w:space="0" w:color="auto"/>
            <w:left w:val="none" w:sz="0" w:space="0" w:color="auto"/>
            <w:bottom w:val="none" w:sz="0" w:space="0" w:color="auto"/>
            <w:right w:val="none" w:sz="0" w:space="0" w:color="auto"/>
          </w:divBdr>
          <w:divsChild>
            <w:div w:id="1155682644">
              <w:marLeft w:val="0"/>
              <w:marRight w:val="0"/>
              <w:marTop w:val="0"/>
              <w:marBottom w:val="0"/>
              <w:divBdr>
                <w:top w:val="none" w:sz="0" w:space="0" w:color="auto"/>
                <w:left w:val="none" w:sz="0" w:space="0" w:color="auto"/>
                <w:bottom w:val="none" w:sz="0" w:space="0" w:color="auto"/>
                <w:right w:val="none" w:sz="0" w:space="0" w:color="auto"/>
              </w:divBdr>
              <w:divsChild>
                <w:div w:id="204219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38551">
          <w:marLeft w:val="0"/>
          <w:marRight w:val="0"/>
          <w:marTop w:val="0"/>
          <w:marBottom w:val="0"/>
          <w:divBdr>
            <w:top w:val="none" w:sz="0" w:space="0" w:color="auto"/>
            <w:left w:val="none" w:sz="0" w:space="0" w:color="auto"/>
            <w:bottom w:val="none" w:sz="0" w:space="0" w:color="auto"/>
            <w:right w:val="none" w:sz="0" w:space="0" w:color="auto"/>
          </w:divBdr>
          <w:divsChild>
            <w:div w:id="462847374">
              <w:marLeft w:val="0"/>
              <w:marRight w:val="0"/>
              <w:marTop w:val="0"/>
              <w:marBottom w:val="0"/>
              <w:divBdr>
                <w:top w:val="none" w:sz="0" w:space="0" w:color="auto"/>
                <w:left w:val="none" w:sz="0" w:space="0" w:color="auto"/>
                <w:bottom w:val="none" w:sz="0" w:space="0" w:color="auto"/>
                <w:right w:val="none" w:sz="0" w:space="0" w:color="auto"/>
              </w:divBdr>
            </w:div>
            <w:div w:id="29768676">
              <w:marLeft w:val="0"/>
              <w:marRight w:val="0"/>
              <w:marTop w:val="0"/>
              <w:marBottom w:val="0"/>
              <w:divBdr>
                <w:top w:val="none" w:sz="0" w:space="0" w:color="auto"/>
                <w:left w:val="none" w:sz="0" w:space="0" w:color="auto"/>
                <w:bottom w:val="none" w:sz="0" w:space="0" w:color="auto"/>
                <w:right w:val="none" w:sz="0" w:space="0" w:color="auto"/>
              </w:divBdr>
              <w:divsChild>
                <w:div w:id="1379664542">
                  <w:marLeft w:val="0"/>
                  <w:marRight w:val="0"/>
                  <w:marTop w:val="0"/>
                  <w:marBottom w:val="0"/>
                  <w:divBdr>
                    <w:top w:val="none" w:sz="0" w:space="0" w:color="auto"/>
                    <w:left w:val="none" w:sz="0" w:space="0" w:color="auto"/>
                    <w:bottom w:val="none" w:sz="0" w:space="0" w:color="auto"/>
                    <w:right w:val="none" w:sz="0" w:space="0" w:color="auto"/>
                  </w:divBdr>
                  <w:divsChild>
                    <w:div w:id="1436056657">
                      <w:marLeft w:val="0"/>
                      <w:marRight w:val="0"/>
                      <w:marTop w:val="0"/>
                      <w:marBottom w:val="0"/>
                      <w:divBdr>
                        <w:top w:val="none" w:sz="0" w:space="0" w:color="auto"/>
                        <w:left w:val="none" w:sz="0" w:space="0" w:color="auto"/>
                        <w:bottom w:val="none" w:sz="0" w:space="0" w:color="auto"/>
                        <w:right w:val="none" w:sz="0" w:space="0" w:color="auto"/>
                      </w:divBdr>
                      <w:divsChild>
                        <w:div w:id="1664773744">
                          <w:marLeft w:val="0"/>
                          <w:marRight w:val="0"/>
                          <w:marTop w:val="0"/>
                          <w:marBottom w:val="0"/>
                          <w:divBdr>
                            <w:top w:val="none" w:sz="0" w:space="0" w:color="auto"/>
                            <w:left w:val="none" w:sz="0" w:space="0" w:color="auto"/>
                            <w:bottom w:val="none" w:sz="0" w:space="0" w:color="auto"/>
                            <w:right w:val="none" w:sz="0" w:space="0" w:color="auto"/>
                          </w:divBdr>
                          <w:divsChild>
                            <w:div w:id="129428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ha.europa.eu/en/tools-and-publications/publications/healthy-workplaces-good-practice-awards-2018-2019/view" TargetMode="External"/><Relationship Id="rId3" Type="http://schemas.openxmlformats.org/officeDocument/2006/relationships/settings" Target="settings.xml"/><Relationship Id="rId7" Type="http://schemas.openxmlformats.org/officeDocument/2006/relationships/hyperlink" Target="https://healthy-workplaces.eu/en/media-centre/news/control-measures-stop-risks-posed-dangerous-substan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althy-workplaces.eu/"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althy-workplaces.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713</Words>
  <Characters>4065</Characters>
  <Application>Microsoft Office Word</Application>
  <DocSecurity>0</DocSecurity>
  <Lines>33</Lines>
  <Paragraphs>9</Paragraphs>
  <ScaleCrop>false</ScaleCrop>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2020-02-26T10:49:00Z</dcterms:created>
  <dcterms:modified xsi:type="dcterms:W3CDTF">2020-05-14T08:03:00Z</dcterms:modified>
</cp:coreProperties>
</file>