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BCA6" w14:textId="77777777" w:rsidR="00553077" w:rsidRPr="00553077" w:rsidRDefault="00553077" w:rsidP="00553077">
      <w:pPr>
        <w:spacing w:after="135" w:line="540" w:lineRule="atLeast"/>
        <w:rPr>
          <w:rFonts w:ascii="Helvetica Neue" w:eastAsia="Times New Roman" w:hAnsi="Helvetica Neue" w:cs="Times New Roman"/>
          <w:color w:val="333333"/>
          <w:sz w:val="45"/>
          <w:szCs w:val="45"/>
          <w:lang w:eastAsia="en-GB"/>
        </w:rPr>
      </w:pPr>
      <w:r w:rsidRPr="00553077">
        <w:rPr>
          <w:rFonts w:ascii="Helvetica Neue" w:eastAsia="Times New Roman" w:hAnsi="Helvetica Neue" w:cs="Times New Roman"/>
          <w:color w:val="333333"/>
          <w:sz w:val="45"/>
          <w:szCs w:val="45"/>
          <w:lang w:eastAsia="en-GB"/>
        </w:rPr>
        <w:t>Consultation on CP12 – Evidence in Trade Mark Appeal Proceedings</w:t>
      </w:r>
    </w:p>
    <w:p w14:paraId="694FE399" w14:textId="77777777" w:rsidR="00553077" w:rsidRPr="00553077" w:rsidRDefault="00553077" w:rsidP="00553077">
      <w:pPr>
        <w:rPr>
          <w:rFonts w:ascii="Times New Roman" w:eastAsia="Times New Roman" w:hAnsi="Times New Roman" w:cs="Times New Roman"/>
          <w:lang w:eastAsia="en-GB"/>
        </w:rPr>
      </w:pPr>
      <w:r w:rsidRPr="00553077">
        <w:rPr>
          <w:rFonts w:ascii="Helvetica Neue" w:eastAsia="Times New Roman" w:hAnsi="Helvetica Neue" w:cs="Times New Roman"/>
          <w:color w:val="333333"/>
          <w:sz w:val="20"/>
          <w:szCs w:val="20"/>
          <w:lang w:eastAsia="en-GB"/>
        </w:rPr>
        <w:br/>
      </w:r>
    </w:p>
    <w:p w14:paraId="38DB66BC" w14:textId="77777777" w:rsidR="00553077" w:rsidRPr="00553077" w:rsidRDefault="00553077" w:rsidP="00553077">
      <w:pPr>
        <w:spacing w:after="135" w:line="270" w:lineRule="atLeast"/>
        <w:jc w:val="center"/>
        <w:rPr>
          <w:rFonts w:ascii="Helvetica Neue" w:eastAsia="Times New Roman" w:hAnsi="Helvetica Neue" w:cs="Times New Roman"/>
          <w:color w:val="333333"/>
          <w:sz w:val="20"/>
          <w:szCs w:val="20"/>
          <w:lang w:eastAsia="en-GB"/>
        </w:rPr>
      </w:pPr>
      <w:r w:rsidRPr="00553077">
        <w:rPr>
          <w:rFonts w:ascii="Helvetica Neue" w:eastAsia="Times New Roman" w:hAnsi="Helvetica Neue" w:cs="Times New Roman"/>
          <w:color w:val="333333"/>
          <w:sz w:val="20"/>
          <w:szCs w:val="20"/>
          <w:lang w:eastAsia="en-GB"/>
        </w:rPr>
        <w:fldChar w:fldCharType="begin"/>
      </w:r>
      <w:r w:rsidRPr="00553077">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"/var/folders/_q/q8cs7q6n2_9fjj5fj4lvg5kh0000gp/T/com.microsoft.Word/WebArchiveCopyPasteTempFiles/NETWORK_500x300.jpg" \* MERGEFORMATINET </w:instrText>
      </w:r>
      <w:r w:rsidRPr="00553077">
        <w:rPr>
          <w:rFonts w:ascii="Helvetica Neue" w:eastAsia="Times New Roman" w:hAnsi="Helvetica Neue" w:cs="Times New Roman"/>
          <w:color w:val="333333"/>
          <w:sz w:val="20"/>
          <w:szCs w:val="20"/>
          <w:lang w:eastAsia="en-GB"/>
        </w:rPr>
        <w:fldChar w:fldCharType="separate"/>
      </w:r>
      <w:r w:rsidRPr="00553077">
        <w:rPr>
          <w:rFonts w:ascii="Helvetica Neue" w:eastAsia="Times New Roman" w:hAnsi="Helvetica Neue" w:cs="Times New Roman"/>
          <w:noProof/>
          <w:color w:val="333333"/>
          <w:sz w:val="20"/>
          <w:szCs w:val="20"/>
          <w:lang w:eastAsia="en-GB"/>
        </w:rPr>
        <w:drawing>
          <wp:inline distT="0" distB="0" distL="0" distR="0" wp14:anchorId="4BBA281E" wp14:editId="3FA1ED67">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553077">
        <w:rPr>
          <w:rFonts w:ascii="Helvetica Neue" w:eastAsia="Times New Roman" w:hAnsi="Helvetica Neue" w:cs="Times New Roman"/>
          <w:color w:val="333333"/>
          <w:sz w:val="20"/>
          <w:szCs w:val="20"/>
          <w:lang w:eastAsia="en-GB"/>
        </w:rPr>
        <w:fldChar w:fldCharType="end"/>
      </w:r>
    </w:p>
    <w:p w14:paraId="54010154" w14:textId="77777777" w:rsidR="00553077" w:rsidRPr="00553077" w:rsidRDefault="00553077" w:rsidP="00553077">
      <w:pPr>
        <w:spacing w:after="135" w:line="270" w:lineRule="atLeast"/>
        <w:rPr>
          <w:rFonts w:ascii="Helvetica Neue" w:eastAsia="Times New Roman" w:hAnsi="Helvetica Neue" w:cs="Times New Roman"/>
          <w:color w:val="333333"/>
          <w:sz w:val="20"/>
          <w:szCs w:val="20"/>
          <w:lang w:eastAsia="en-GB"/>
        </w:rPr>
      </w:pPr>
      <w:bookmarkStart w:id="0" w:name="_GoBack"/>
      <w:bookmarkEnd w:id="0"/>
      <w:r w:rsidRPr="000C1BA1">
        <w:rPr>
          <w:rFonts w:ascii="Helvetica Neue" w:eastAsia="Times New Roman" w:hAnsi="Helvetica Neue" w:cs="Times New Roman"/>
          <w:color w:val="333333"/>
          <w:sz w:val="20"/>
          <w:szCs w:val="20"/>
          <w:highlight w:val="lightGray"/>
          <w:lang w:eastAsia="en-GB"/>
        </w:rPr>
        <w:t>The draft Common Practice of the project </w:t>
      </w:r>
      <w:hyperlink r:id="rId6" w:history="1">
        <w:r w:rsidRPr="000C1BA1">
          <w:rPr>
            <w:rFonts w:ascii="Helvetica Neue" w:eastAsia="Times New Roman" w:hAnsi="Helvetica Neue" w:cs="Times New Roman"/>
            <w:b/>
            <w:bCs/>
            <w:color w:val="0077AC"/>
            <w:sz w:val="20"/>
            <w:szCs w:val="20"/>
            <w:highlight w:val="lightGray"/>
            <w:u w:val="single"/>
            <w:lang w:eastAsia="en-GB"/>
          </w:rPr>
          <w:t>CP12 ‘Evidence in Trade Mark Appeal Proceedings: filing, structure and presentation of evidence, and the treatment of confidential evidence’</w:t>
        </w:r>
      </w:hyperlink>
      <w:r w:rsidRPr="000C1BA1">
        <w:rPr>
          <w:rFonts w:ascii="Helvetica Neue" w:eastAsia="Times New Roman" w:hAnsi="Helvetica Neue" w:cs="Times New Roman"/>
          <w:color w:val="333333"/>
          <w:sz w:val="20"/>
          <w:szCs w:val="20"/>
          <w:highlight w:val="lightGray"/>
          <w:lang w:eastAsia="en-GB"/>
        </w:rPr>
        <w:t> has been made available in English for comments.</w:t>
      </w:r>
    </w:p>
    <w:p w14:paraId="459CD4D9" w14:textId="77777777" w:rsidR="00553077" w:rsidRPr="00553077" w:rsidRDefault="00553077" w:rsidP="00553077">
      <w:pPr>
        <w:spacing w:after="135" w:line="270" w:lineRule="atLeast"/>
        <w:rPr>
          <w:rFonts w:ascii="Helvetica Neue" w:eastAsia="Times New Roman" w:hAnsi="Helvetica Neue" w:cs="Times New Roman"/>
          <w:color w:val="333333"/>
          <w:sz w:val="20"/>
          <w:szCs w:val="20"/>
          <w:lang w:eastAsia="en-GB"/>
        </w:rPr>
      </w:pPr>
      <w:r w:rsidRPr="006F0C86">
        <w:rPr>
          <w:rFonts w:ascii="Helvetica Neue" w:eastAsia="Times New Roman" w:hAnsi="Helvetica Neue" w:cs="Times New Roman"/>
          <w:color w:val="333333"/>
          <w:sz w:val="20"/>
          <w:szCs w:val="20"/>
          <w:highlight w:val="yellow"/>
          <w:lang w:eastAsia="en-GB"/>
        </w:rPr>
        <w:t>The CP12 Working Group, composed of representatives from five external Appeal Bodies, the Appeal departments of three EU intellectual property offices, three user associations and the EUIPO Boards of Appeal, made significant progress on developing the Common Practice during the course of two Working Group meetings and a workshop in which the representatives shared best practices and expertise to establish the common principles of the CP12 project.</w:t>
      </w:r>
    </w:p>
    <w:p w14:paraId="2C9E60CD" w14:textId="77777777" w:rsidR="00553077" w:rsidRPr="00553077" w:rsidRDefault="00553077" w:rsidP="00553077">
      <w:pPr>
        <w:spacing w:after="135" w:line="270" w:lineRule="atLeast"/>
        <w:rPr>
          <w:rFonts w:ascii="Helvetica Neue" w:eastAsia="Times New Roman" w:hAnsi="Helvetica Neue" w:cs="Times New Roman"/>
          <w:color w:val="333333"/>
          <w:sz w:val="20"/>
          <w:szCs w:val="20"/>
          <w:lang w:eastAsia="en-GB"/>
        </w:rPr>
      </w:pPr>
      <w:r w:rsidRPr="006F0C86">
        <w:rPr>
          <w:rFonts w:ascii="Helvetica Neue" w:eastAsia="Times New Roman" w:hAnsi="Helvetica Neue" w:cs="Times New Roman"/>
          <w:color w:val="333333"/>
          <w:sz w:val="20"/>
          <w:szCs w:val="20"/>
          <w:highlight w:val="yellow"/>
          <w:lang w:eastAsia="en-GB"/>
        </w:rPr>
        <w:t>As a result, the draft of the CP12 Common Practice is now available for review by all stakeholders. The Working Group considers this to be a ‘living document’ and open to discussion, where it would be very </w:t>
      </w:r>
      <w:r w:rsidRPr="006F0C86">
        <w:rPr>
          <w:rFonts w:ascii="Helvetica Neue" w:eastAsia="Times New Roman" w:hAnsi="Helvetica Neue" w:cs="Times New Roman"/>
          <w:b/>
          <w:bCs/>
          <w:color w:val="333333"/>
          <w:sz w:val="20"/>
          <w:szCs w:val="20"/>
          <w:highlight w:val="yellow"/>
          <w:lang w:eastAsia="en-GB"/>
        </w:rPr>
        <w:t>appreciated to receive input or feedback</w:t>
      </w:r>
      <w:r w:rsidRPr="00553077">
        <w:rPr>
          <w:rFonts w:ascii="Helvetica Neue" w:eastAsia="Times New Roman" w:hAnsi="Helvetica Neue" w:cs="Times New Roman"/>
          <w:color w:val="333333"/>
          <w:sz w:val="20"/>
          <w:szCs w:val="20"/>
          <w:lang w:eastAsia="en-GB"/>
        </w:rPr>
        <w:t>.</w:t>
      </w:r>
    </w:p>
    <w:p w14:paraId="52F45563" w14:textId="77777777" w:rsidR="00553077" w:rsidRPr="006F0C86" w:rsidRDefault="00553077" w:rsidP="00553077">
      <w:pPr>
        <w:spacing w:after="135" w:line="270" w:lineRule="atLeast"/>
        <w:rPr>
          <w:rFonts w:ascii="Helvetica Neue" w:eastAsia="Times New Roman" w:hAnsi="Helvetica Neue" w:cs="Times New Roman"/>
          <w:color w:val="333333"/>
          <w:sz w:val="20"/>
          <w:szCs w:val="20"/>
          <w:highlight w:val="darkGray"/>
          <w:lang w:eastAsia="en-GB"/>
        </w:rPr>
      </w:pPr>
      <w:r w:rsidRPr="006F0C86">
        <w:rPr>
          <w:rFonts w:ascii="Helvetica Neue" w:eastAsia="Times New Roman" w:hAnsi="Helvetica Neue" w:cs="Times New Roman"/>
          <w:color w:val="333333"/>
          <w:sz w:val="20"/>
          <w:szCs w:val="20"/>
          <w:highlight w:val="darkGray"/>
          <w:lang w:eastAsia="en-GB"/>
        </w:rPr>
        <w:t>The scope of the CP12 project covers </w:t>
      </w:r>
      <w:r w:rsidRPr="006F0C86">
        <w:rPr>
          <w:rFonts w:ascii="Helvetica Neue" w:eastAsia="Times New Roman" w:hAnsi="Helvetica Neue" w:cs="Times New Roman"/>
          <w:b/>
          <w:bCs/>
          <w:color w:val="333333"/>
          <w:sz w:val="20"/>
          <w:szCs w:val="20"/>
          <w:highlight w:val="darkGray"/>
          <w:lang w:eastAsia="en-GB"/>
        </w:rPr>
        <w:t>five main areas:</w:t>
      </w:r>
    </w:p>
    <w:p w14:paraId="027CAAA9" w14:textId="77777777" w:rsidR="00553077" w:rsidRPr="006F0C86" w:rsidRDefault="00553077" w:rsidP="0055307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darkGray"/>
          <w:lang w:eastAsia="en-GB"/>
        </w:rPr>
      </w:pPr>
      <w:r w:rsidRPr="006F0C86">
        <w:rPr>
          <w:rFonts w:ascii="Helvetica Neue" w:eastAsia="Times New Roman" w:hAnsi="Helvetica Neue" w:cs="Times New Roman"/>
          <w:color w:val="333333"/>
          <w:sz w:val="20"/>
          <w:szCs w:val="20"/>
          <w:highlight w:val="darkGray"/>
          <w:lang w:eastAsia="en-GB"/>
        </w:rPr>
        <w:t>General Concepts – definitions and admissibility of evidence</w:t>
      </w:r>
    </w:p>
    <w:p w14:paraId="03ABB3E5" w14:textId="77777777" w:rsidR="00553077" w:rsidRPr="006F0C86" w:rsidRDefault="00553077" w:rsidP="0055307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darkGray"/>
          <w:lang w:eastAsia="en-GB"/>
        </w:rPr>
      </w:pPr>
      <w:r w:rsidRPr="006F0C86">
        <w:rPr>
          <w:rFonts w:ascii="Helvetica Neue" w:eastAsia="Times New Roman" w:hAnsi="Helvetica Neue" w:cs="Times New Roman"/>
          <w:color w:val="333333"/>
          <w:sz w:val="20"/>
          <w:szCs w:val="20"/>
          <w:highlight w:val="darkGray"/>
          <w:lang w:eastAsia="en-GB"/>
        </w:rPr>
        <w:t>Means and sources of evidence – documents; online evidence; and genuineness, veracity and reliability of evidence</w:t>
      </w:r>
    </w:p>
    <w:p w14:paraId="6D2108E5" w14:textId="77777777" w:rsidR="00553077" w:rsidRPr="006F0C86" w:rsidRDefault="00553077" w:rsidP="0055307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darkGray"/>
          <w:lang w:eastAsia="en-GB"/>
        </w:rPr>
      </w:pPr>
      <w:r w:rsidRPr="006F0C86">
        <w:rPr>
          <w:rFonts w:ascii="Helvetica Neue" w:eastAsia="Times New Roman" w:hAnsi="Helvetica Neue" w:cs="Times New Roman"/>
          <w:color w:val="333333"/>
          <w:sz w:val="20"/>
          <w:szCs w:val="20"/>
          <w:highlight w:val="darkGray"/>
          <w:lang w:eastAsia="en-GB"/>
        </w:rPr>
        <w:t>Establishing the relevant date of evidence – documentary evidence; online evidence; and the period and timing of a market survey</w:t>
      </w:r>
    </w:p>
    <w:p w14:paraId="275F2C93" w14:textId="77777777" w:rsidR="00553077" w:rsidRPr="006F0C86" w:rsidRDefault="00553077" w:rsidP="0055307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darkGray"/>
          <w:lang w:eastAsia="en-GB"/>
        </w:rPr>
      </w:pPr>
      <w:r w:rsidRPr="006F0C86">
        <w:rPr>
          <w:rFonts w:ascii="Helvetica Neue" w:eastAsia="Times New Roman" w:hAnsi="Helvetica Neue" w:cs="Times New Roman"/>
          <w:color w:val="333333"/>
          <w:sz w:val="20"/>
          <w:szCs w:val="20"/>
          <w:highlight w:val="darkGray"/>
          <w:lang w:eastAsia="en-GB"/>
        </w:rPr>
        <w:t>Ways to present evidence: structure and presentation – acceptable formats, size and recommended length; structure of the evidence; structure of market surveys; and templates</w:t>
      </w:r>
    </w:p>
    <w:p w14:paraId="093DC39F" w14:textId="77777777" w:rsidR="00553077" w:rsidRPr="006F0C86" w:rsidRDefault="00553077" w:rsidP="0055307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highlight w:val="darkGray"/>
          <w:lang w:eastAsia="en-GB"/>
        </w:rPr>
      </w:pPr>
      <w:r w:rsidRPr="006F0C86">
        <w:rPr>
          <w:rFonts w:ascii="Helvetica Neue" w:eastAsia="Times New Roman" w:hAnsi="Helvetica Neue" w:cs="Times New Roman"/>
          <w:color w:val="333333"/>
          <w:sz w:val="20"/>
          <w:szCs w:val="20"/>
          <w:highlight w:val="darkGray"/>
          <w:lang w:eastAsia="en-GB"/>
        </w:rPr>
        <w:lastRenderedPageBreak/>
        <w:t>Confidentiality of evidence – acceptable ways and point in time to claim confidentiality; the scope of the confidentiality request and criteria for assessing it; and publication of the decision and use of confidential evidence.</w:t>
      </w:r>
    </w:p>
    <w:p w14:paraId="2186516D" w14:textId="77777777" w:rsidR="00553077" w:rsidRPr="006F0C86" w:rsidRDefault="00553077" w:rsidP="00553077">
      <w:pPr>
        <w:spacing w:after="135" w:line="270" w:lineRule="atLeast"/>
        <w:rPr>
          <w:rFonts w:ascii="Helvetica Neue" w:eastAsia="Times New Roman" w:hAnsi="Helvetica Neue" w:cs="Times New Roman"/>
          <w:color w:val="333333"/>
          <w:sz w:val="20"/>
          <w:szCs w:val="20"/>
          <w:highlight w:val="yellow"/>
          <w:lang w:eastAsia="en-GB"/>
        </w:rPr>
      </w:pPr>
      <w:r w:rsidRPr="006F0C86">
        <w:rPr>
          <w:rFonts w:ascii="Helvetica Neue" w:eastAsia="Times New Roman" w:hAnsi="Helvetica Neue" w:cs="Times New Roman"/>
          <w:color w:val="333333"/>
          <w:sz w:val="20"/>
          <w:szCs w:val="20"/>
          <w:highlight w:val="yellow"/>
          <w:lang w:eastAsia="en-GB"/>
        </w:rPr>
        <w:t>The EUIPO welcomes your comments on the draft Common Practice, which should be returned either via email (stating the relevant section or page number) or by completing the </w:t>
      </w:r>
      <w:hyperlink r:id="rId7" w:history="1">
        <w:r w:rsidRPr="006F0C86">
          <w:rPr>
            <w:rFonts w:ascii="Helvetica Neue" w:eastAsia="Times New Roman" w:hAnsi="Helvetica Neue" w:cs="Times New Roman"/>
            <w:color w:val="0077AC"/>
            <w:sz w:val="20"/>
            <w:szCs w:val="20"/>
            <w:highlight w:val="yellow"/>
            <w:u w:val="single"/>
            <w:lang w:eastAsia="en-GB"/>
          </w:rPr>
          <w:t>Feedback Form</w:t>
        </w:r>
        <w:r w:rsidRPr="006F0C86">
          <w:rPr>
            <w:rFonts w:ascii="Helvetica Neue" w:eastAsia="Times New Roman" w:hAnsi="Helvetica Neue" w:cs="Times New Roman"/>
            <w:color w:val="0077AC"/>
            <w:sz w:val="20"/>
            <w:szCs w:val="20"/>
            <w:highlight w:val="yellow"/>
            <w:lang w:eastAsia="en-GB"/>
          </w:rPr>
          <w:t> </w:t>
        </w:r>
      </w:hyperlink>
      <w:r w:rsidRPr="006F0C86">
        <w:rPr>
          <w:rFonts w:ascii="Helvetica Neue" w:eastAsia="Times New Roman" w:hAnsi="Helvetica Neue" w:cs="Times New Roman"/>
          <w:color w:val="333333"/>
          <w:sz w:val="20"/>
          <w:szCs w:val="20"/>
          <w:highlight w:val="yellow"/>
          <w:lang w:eastAsia="en-GB"/>
        </w:rPr>
        <w:t>and send it to </w:t>
      </w:r>
      <w:hyperlink r:id="rId8" w:history="1">
        <w:r w:rsidRPr="006F0C86">
          <w:rPr>
            <w:rFonts w:ascii="Helvetica Neue" w:eastAsia="Times New Roman" w:hAnsi="Helvetica Neue" w:cs="Times New Roman"/>
            <w:color w:val="0077AC"/>
            <w:sz w:val="20"/>
            <w:szCs w:val="20"/>
            <w:highlight w:val="yellow"/>
            <w:u w:val="single"/>
            <w:lang w:eastAsia="en-GB"/>
          </w:rPr>
          <w:t>CommonPractices@euipo.europa.eu</w:t>
        </w:r>
        <w:r w:rsidRPr="006F0C86">
          <w:rPr>
            <w:rFonts w:ascii="Helvetica Neue" w:eastAsia="Times New Roman" w:hAnsi="Helvetica Neue" w:cs="Times New Roman"/>
            <w:color w:val="0077AC"/>
            <w:sz w:val="20"/>
            <w:szCs w:val="20"/>
            <w:highlight w:val="yellow"/>
            <w:lang w:eastAsia="en-GB"/>
          </w:rPr>
          <w:t> </w:t>
        </w:r>
      </w:hyperlink>
      <w:r w:rsidRPr="006F0C86">
        <w:rPr>
          <w:rFonts w:ascii="Helvetica Neue" w:eastAsia="Times New Roman" w:hAnsi="Helvetica Neue" w:cs="Times New Roman"/>
          <w:color w:val="333333"/>
          <w:sz w:val="20"/>
          <w:szCs w:val="20"/>
          <w:highlight w:val="yellow"/>
          <w:lang w:eastAsia="en-GB"/>
        </w:rPr>
        <w:t>by </w:t>
      </w:r>
      <w:r w:rsidRPr="006F0C86">
        <w:rPr>
          <w:rFonts w:ascii="Helvetica Neue" w:eastAsia="Times New Roman" w:hAnsi="Helvetica Neue" w:cs="Times New Roman"/>
          <w:b/>
          <w:bCs/>
          <w:color w:val="333333"/>
          <w:sz w:val="20"/>
          <w:szCs w:val="20"/>
          <w:highlight w:val="yellow"/>
          <w:lang w:eastAsia="en-GB"/>
        </w:rPr>
        <w:t>Monday</w:t>
      </w:r>
      <w:r w:rsidRPr="006F0C86">
        <w:rPr>
          <w:rFonts w:ascii="Helvetica Neue" w:eastAsia="Times New Roman" w:hAnsi="Helvetica Neue" w:cs="Times New Roman"/>
          <w:color w:val="333333"/>
          <w:sz w:val="20"/>
          <w:szCs w:val="20"/>
          <w:highlight w:val="yellow"/>
          <w:lang w:eastAsia="en-GB"/>
        </w:rPr>
        <w:t>, </w:t>
      </w:r>
      <w:r w:rsidRPr="006F0C86">
        <w:rPr>
          <w:rFonts w:ascii="Helvetica Neue" w:eastAsia="Times New Roman" w:hAnsi="Helvetica Neue" w:cs="Times New Roman"/>
          <w:b/>
          <w:bCs/>
          <w:color w:val="333333"/>
          <w:sz w:val="20"/>
          <w:szCs w:val="20"/>
          <w:highlight w:val="yellow"/>
          <w:lang w:eastAsia="en-GB"/>
        </w:rPr>
        <w:t>20 January 2020.</w:t>
      </w:r>
    </w:p>
    <w:p w14:paraId="38EE91F3" w14:textId="77777777" w:rsidR="00553077" w:rsidRPr="00553077" w:rsidRDefault="00553077" w:rsidP="00553077">
      <w:pPr>
        <w:spacing w:after="135" w:line="270" w:lineRule="atLeast"/>
        <w:rPr>
          <w:rFonts w:ascii="Helvetica Neue" w:eastAsia="Times New Roman" w:hAnsi="Helvetica Neue" w:cs="Times New Roman"/>
          <w:color w:val="333333"/>
          <w:sz w:val="20"/>
          <w:szCs w:val="20"/>
          <w:lang w:eastAsia="en-GB"/>
        </w:rPr>
      </w:pPr>
      <w:r w:rsidRPr="006F0C86">
        <w:rPr>
          <w:rFonts w:ascii="Helvetica Neue" w:eastAsia="Times New Roman" w:hAnsi="Helvetica Neue" w:cs="Times New Roman"/>
          <w:color w:val="333333"/>
          <w:sz w:val="20"/>
          <w:szCs w:val="20"/>
          <w:highlight w:val="yellow"/>
          <w:lang w:eastAsia="en-GB"/>
        </w:rPr>
        <w:t>The CP12 project is part of the EUIPO’s </w:t>
      </w:r>
      <w:hyperlink r:id="rId9" w:history="1">
        <w:r w:rsidRPr="006F0C86">
          <w:rPr>
            <w:rFonts w:ascii="Helvetica Neue" w:eastAsia="Times New Roman" w:hAnsi="Helvetica Neue" w:cs="Times New Roman"/>
            <w:color w:val="0077AC"/>
            <w:sz w:val="20"/>
            <w:szCs w:val="20"/>
            <w:highlight w:val="yellow"/>
            <w:u w:val="single"/>
            <w:lang w:eastAsia="en-GB"/>
          </w:rPr>
          <w:t>European Cooperation Projects</w:t>
        </w:r>
      </w:hyperlink>
      <w:r w:rsidRPr="006F0C86">
        <w:rPr>
          <w:rFonts w:ascii="Helvetica Neue" w:eastAsia="Times New Roman" w:hAnsi="Helvetica Neue" w:cs="Times New Roman"/>
          <w:color w:val="333333"/>
          <w:sz w:val="20"/>
          <w:szCs w:val="20"/>
          <w:highlight w:val="yellow"/>
          <w:lang w:eastAsia="en-GB"/>
        </w:rPr>
        <w:t> under the heading ‘ECP4 Shared Services and Practices’.</w:t>
      </w:r>
    </w:p>
    <w:p w14:paraId="3361D877" w14:textId="77777777" w:rsidR="00EA58B9" w:rsidRDefault="00EA58B9"/>
    <w:sectPr w:rsidR="00EA58B9"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5B0B"/>
    <w:multiLevelType w:val="multilevel"/>
    <w:tmpl w:val="D76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B9"/>
    <w:rsid w:val="000C1BA1"/>
    <w:rsid w:val="00553077"/>
    <w:rsid w:val="006F0C86"/>
    <w:rsid w:val="00EA58B9"/>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95871CA"/>
  <w15:chartTrackingRefBased/>
  <w15:docId w15:val="{C22B2185-5798-614B-903A-2E1380DD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55307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5307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53077"/>
    <w:rPr>
      <w:b/>
      <w:bCs/>
    </w:rPr>
  </w:style>
  <w:style w:type="character" w:styleId="Hyperlink">
    <w:name w:val="Hyperlink"/>
    <w:basedOn w:val="DefaultParagraphFont"/>
    <w:uiPriority w:val="99"/>
    <w:semiHidden/>
    <w:unhideWhenUsed/>
    <w:rsid w:val="00553077"/>
    <w:rPr>
      <w:color w:val="0000FF"/>
      <w:u w:val="single"/>
    </w:rPr>
  </w:style>
  <w:style w:type="character" w:customStyle="1" w:styleId="apple-converted-space">
    <w:name w:val="apple-converted-space"/>
    <w:basedOn w:val="DefaultParagraphFont"/>
    <w:rsid w:val="0055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monPractices@euipo.europa.eu" TargetMode="External"/><Relationship Id="rId3" Type="http://schemas.openxmlformats.org/officeDocument/2006/relationships/settings" Target="settings.xml"/><Relationship Id="rId7" Type="http://schemas.openxmlformats.org/officeDocument/2006/relationships/hyperlink" Target="https://www.tmdn.org/network/documents/10181/61504/CP12+-+Draft+Common+Practice+Feedback+Template/b7590afc-a28f-4d11-9fc0-d0f8d34c75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mdn.org/network/documents/10181/61504/Draft+CP12+-+Evidence+in+TM+appeal+proceedings/6fb87896-7e7d-48b4-99bb-4b3fb0fed6e4"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ipo.europa.eu/ohimportal/en/european-co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2020-02-24T12:26:00Z</dcterms:created>
  <dcterms:modified xsi:type="dcterms:W3CDTF">2020-05-11T15:37:00Z</dcterms:modified>
</cp:coreProperties>
</file>