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14F59" w14:textId="77777777" w:rsidR="00BC6621" w:rsidRPr="00BC6621" w:rsidRDefault="00BC6621" w:rsidP="00BC6621">
      <w:pPr>
        <w:spacing w:after="135" w:line="540" w:lineRule="atLeast"/>
        <w:rPr>
          <w:rFonts w:ascii="Helvetica Neue" w:eastAsia="Times New Roman" w:hAnsi="Helvetica Neue" w:cs="Times New Roman"/>
          <w:color w:val="333333"/>
          <w:sz w:val="45"/>
          <w:szCs w:val="45"/>
          <w:lang w:eastAsia="en-GB"/>
        </w:rPr>
      </w:pPr>
      <w:r w:rsidRPr="00BC6621">
        <w:rPr>
          <w:rFonts w:ascii="Helvetica Neue" w:eastAsia="Times New Roman" w:hAnsi="Helvetica Neue" w:cs="Times New Roman"/>
          <w:color w:val="333333"/>
          <w:sz w:val="45"/>
          <w:szCs w:val="45"/>
          <w:lang w:eastAsia="en-GB"/>
        </w:rPr>
        <w:t>Case-law Collection on the Liability and Obligations of Intermediary Service Providers</w:t>
      </w:r>
    </w:p>
    <w:p w14:paraId="56DDF8AD" w14:textId="77777777" w:rsidR="00BC6621" w:rsidRPr="00BC6621" w:rsidRDefault="00BC6621" w:rsidP="00BC6621">
      <w:pPr>
        <w:rPr>
          <w:rFonts w:ascii="Times New Roman" w:eastAsia="Times New Roman" w:hAnsi="Times New Roman" w:cs="Times New Roman"/>
          <w:lang w:eastAsia="en-GB"/>
        </w:rPr>
      </w:pPr>
      <w:r w:rsidRPr="00BC6621">
        <w:rPr>
          <w:rFonts w:ascii="Helvetica Neue" w:eastAsia="Times New Roman" w:hAnsi="Helvetica Neue" w:cs="Times New Roman"/>
          <w:color w:val="333333"/>
          <w:sz w:val="20"/>
          <w:szCs w:val="20"/>
          <w:lang w:eastAsia="en-GB"/>
        </w:rPr>
        <w:br/>
      </w:r>
    </w:p>
    <w:p w14:paraId="1C99DBB1" w14:textId="77777777" w:rsidR="00BC6621" w:rsidRPr="00EB3E97" w:rsidRDefault="00BC6621" w:rsidP="00BC6621">
      <w:pPr>
        <w:spacing w:after="135" w:line="270" w:lineRule="atLeast"/>
        <w:rPr>
          <w:rFonts w:ascii="Helvetica Neue" w:eastAsia="Times New Roman" w:hAnsi="Helvetica Neue" w:cs="Times New Roman"/>
          <w:color w:val="333333"/>
          <w:sz w:val="20"/>
          <w:szCs w:val="20"/>
          <w:highlight w:val="yellow"/>
          <w:lang w:eastAsia="en-GB"/>
        </w:rPr>
      </w:pPr>
      <w:r w:rsidRPr="00EB3E97">
        <w:rPr>
          <w:rFonts w:ascii="Helvetica Neue" w:eastAsia="Times New Roman" w:hAnsi="Helvetica Neue" w:cs="Times New Roman"/>
          <w:color w:val="333333"/>
          <w:sz w:val="20"/>
          <w:szCs w:val="20"/>
          <w:highlight w:val="yellow"/>
          <w:lang w:eastAsia="en-GB"/>
        </w:rPr>
        <w:t>Online intermediary service providers bring together or facilitate transactions between third parties on the internet. As the services offered and business models used have evolved, the liability and obligations of online intermediaries have become an important subject of jurisprudential developments and debate.</w:t>
      </w:r>
    </w:p>
    <w:p w14:paraId="558DDCC8" w14:textId="77777777" w:rsidR="00BC6621" w:rsidRPr="00EB3E97" w:rsidRDefault="00BC6621" w:rsidP="00BC6621">
      <w:pPr>
        <w:spacing w:after="135" w:line="270" w:lineRule="atLeast"/>
        <w:rPr>
          <w:rFonts w:ascii="Helvetica Neue" w:eastAsia="Times New Roman" w:hAnsi="Helvetica Neue" w:cs="Times New Roman"/>
          <w:color w:val="333333"/>
          <w:sz w:val="20"/>
          <w:szCs w:val="20"/>
          <w:highlight w:val="yellow"/>
          <w:lang w:eastAsia="en-GB"/>
        </w:rPr>
      </w:pPr>
      <w:r w:rsidRPr="00EB3E97">
        <w:rPr>
          <w:rFonts w:ascii="Helvetica Neue" w:eastAsia="Times New Roman" w:hAnsi="Helvetica Neue" w:cs="Times New Roman"/>
          <w:color w:val="333333"/>
          <w:sz w:val="20"/>
          <w:szCs w:val="20"/>
          <w:highlight w:val="yellow"/>
          <w:lang w:eastAsia="en-GB"/>
        </w:rPr>
        <w:t>A new case-law collection report dealing with this topic has been prepared by the Observatory, through the Knowledge Circle Enforcement.</w:t>
      </w:r>
    </w:p>
    <w:p w14:paraId="3E5BC96F" w14:textId="77777777" w:rsidR="00BC6621" w:rsidRPr="00EB3E97" w:rsidRDefault="00BC6621" w:rsidP="00BC6621">
      <w:pPr>
        <w:spacing w:after="135" w:line="270" w:lineRule="atLeast"/>
        <w:rPr>
          <w:rFonts w:ascii="Helvetica Neue" w:eastAsia="Times New Roman" w:hAnsi="Helvetica Neue" w:cs="Times New Roman"/>
          <w:color w:val="333333"/>
          <w:sz w:val="20"/>
          <w:szCs w:val="20"/>
          <w:highlight w:val="yellow"/>
          <w:lang w:eastAsia="en-GB"/>
        </w:rPr>
      </w:pPr>
      <w:r w:rsidRPr="00EB3E97">
        <w:rPr>
          <w:rFonts w:ascii="Helvetica Neue" w:eastAsia="Times New Roman" w:hAnsi="Helvetica Neue" w:cs="Times New Roman"/>
          <w:color w:val="333333"/>
          <w:sz w:val="20"/>
          <w:szCs w:val="20"/>
          <w:highlight w:val="yellow"/>
          <w:lang w:eastAsia="en-GB"/>
        </w:rPr>
        <w:t>The collection focuses on the liability and obligations of intermediary service providers in the European Union, and gives an overview of relevant decisions of the Court of Justice of the European Union (CJEU) as well as of national courts in 14 selected EU Member States.</w:t>
      </w:r>
    </w:p>
    <w:p w14:paraId="624B8CED" w14:textId="77777777" w:rsidR="00BC6621" w:rsidRPr="00EB3E97" w:rsidRDefault="00BC6621" w:rsidP="00BC6621">
      <w:pPr>
        <w:spacing w:after="135" w:line="270" w:lineRule="atLeast"/>
        <w:rPr>
          <w:rFonts w:ascii="Helvetica Neue" w:eastAsia="Times New Roman" w:hAnsi="Helvetica Neue" w:cs="Times New Roman"/>
          <w:color w:val="333333"/>
          <w:sz w:val="20"/>
          <w:szCs w:val="20"/>
          <w:highlight w:val="yellow"/>
          <w:lang w:eastAsia="en-GB"/>
        </w:rPr>
      </w:pPr>
      <w:r w:rsidRPr="00EB3E97">
        <w:rPr>
          <w:rFonts w:ascii="Helvetica Neue" w:eastAsia="Times New Roman" w:hAnsi="Helvetica Neue" w:cs="Times New Roman"/>
          <w:color w:val="333333"/>
          <w:sz w:val="20"/>
          <w:szCs w:val="20"/>
          <w:highlight w:val="yellow"/>
          <w:lang w:eastAsia="en-GB"/>
        </w:rPr>
        <w:t>The full report can be found </w:t>
      </w:r>
      <w:hyperlink r:id="rId4" w:history="1">
        <w:r w:rsidRPr="00EB3E97">
          <w:rPr>
            <w:rFonts w:ascii="Helvetica Neue" w:eastAsia="Times New Roman" w:hAnsi="Helvetica Neue" w:cs="Times New Roman"/>
            <w:color w:val="0077AC"/>
            <w:sz w:val="20"/>
            <w:szCs w:val="20"/>
            <w:highlight w:val="yellow"/>
            <w:u w:val="single"/>
            <w:lang w:eastAsia="en-GB"/>
          </w:rPr>
          <w:t>here</w:t>
        </w:r>
        <w:r w:rsidRPr="00EB3E97">
          <w:rPr>
            <w:rFonts w:ascii="Helvetica Neue" w:eastAsia="Times New Roman" w:hAnsi="Helvetica Neue" w:cs="Times New Roman"/>
            <w:color w:val="0077AC"/>
            <w:sz w:val="20"/>
            <w:szCs w:val="20"/>
            <w:highlight w:val="yellow"/>
            <w:lang w:eastAsia="en-GB"/>
          </w:rPr>
          <w:t> </w:t>
        </w:r>
      </w:hyperlink>
      <w:r w:rsidRPr="00EB3E97">
        <w:rPr>
          <w:rFonts w:ascii="Helvetica Neue" w:eastAsia="Times New Roman" w:hAnsi="Helvetica Neue" w:cs="Times New Roman"/>
          <w:color w:val="333333"/>
          <w:sz w:val="20"/>
          <w:szCs w:val="20"/>
          <w:highlight w:val="yellow"/>
          <w:lang w:eastAsia="en-GB"/>
        </w:rPr>
        <w:t>.</w:t>
      </w:r>
    </w:p>
    <w:p w14:paraId="076A45A1" w14:textId="77777777" w:rsidR="00BC6621" w:rsidRPr="00EB3E97" w:rsidRDefault="00BC6621" w:rsidP="00BC6621">
      <w:pPr>
        <w:spacing w:after="135" w:line="270" w:lineRule="atLeast"/>
        <w:rPr>
          <w:rFonts w:ascii="Helvetica Neue" w:eastAsia="Times New Roman" w:hAnsi="Helvetica Neue" w:cs="Times New Roman"/>
          <w:color w:val="333333"/>
          <w:sz w:val="20"/>
          <w:szCs w:val="20"/>
          <w:highlight w:val="yellow"/>
          <w:lang w:eastAsia="en-GB"/>
        </w:rPr>
      </w:pPr>
      <w:r w:rsidRPr="00EB3E97">
        <w:rPr>
          <w:rFonts w:ascii="Helvetica Neue" w:eastAsia="Times New Roman" w:hAnsi="Helvetica Neue" w:cs="Times New Roman"/>
          <w:color w:val="333333"/>
          <w:sz w:val="20"/>
          <w:szCs w:val="20"/>
          <w:highlight w:val="yellow"/>
          <w:lang w:eastAsia="en-GB"/>
        </w:rPr>
        <w:t>An important activity of the Observatory and the Knowledge Circle Enforcement consists of monitoring, collecting and analysing European case-law on the enforcement of IP rights. For information on case-law activities, see the </w:t>
      </w:r>
      <w:hyperlink r:id="rId5" w:history="1">
        <w:r w:rsidRPr="00EB3E97">
          <w:rPr>
            <w:rFonts w:ascii="Helvetica Neue" w:eastAsia="Times New Roman" w:hAnsi="Helvetica Neue" w:cs="Times New Roman"/>
            <w:color w:val="0077AC"/>
            <w:sz w:val="20"/>
            <w:szCs w:val="20"/>
            <w:highlight w:val="yellow"/>
            <w:u w:val="single"/>
            <w:lang w:eastAsia="en-GB"/>
          </w:rPr>
          <w:t>Observatory’s case-law page</w:t>
        </w:r>
      </w:hyperlink>
    </w:p>
    <w:p w14:paraId="12FDE9B0" w14:textId="77777777" w:rsidR="00BC6621" w:rsidRPr="00BC6621" w:rsidRDefault="00BC6621" w:rsidP="00BC6621">
      <w:pPr>
        <w:spacing w:after="135" w:line="270" w:lineRule="atLeast"/>
        <w:rPr>
          <w:rFonts w:ascii="Helvetica Neue" w:eastAsia="Times New Roman" w:hAnsi="Helvetica Neue" w:cs="Times New Roman"/>
          <w:color w:val="333333"/>
          <w:sz w:val="20"/>
          <w:szCs w:val="20"/>
          <w:lang w:eastAsia="en-GB"/>
        </w:rPr>
      </w:pPr>
      <w:r w:rsidRPr="00EB3E97">
        <w:rPr>
          <w:rFonts w:ascii="Helvetica Neue" w:eastAsia="Times New Roman" w:hAnsi="Helvetica Neue" w:cs="Times New Roman"/>
          <w:color w:val="333333"/>
          <w:sz w:val="20"/>
          <w:szCs w:val="20"/>
          <w:highlight w:val="yellow"/>
          <w:lang w:eastAsia="en-GB"/>
        </w:rPr>
        <w:t>More information can be also found in </w:t>
      </w:r>
      <w:hyperlink r:id="rId6" w:history="1">
        <w:r w:rsidRPr="00EB3E97">
          <w:rPr>
            <w:rFonts w:ascii="Helvetica Neue" w:eastAsia="Times New Roman" w:hAnsi="Helvetica Neue" w:cs="Times New Roman"/>
            <w:color w:val="0077AC"/>
            <w:sz w:val="20"/>
            <w:szCs w:val="20"/>
            <w:highlight w:val="yellow"/>
            <w:u w:val="single"/>
            <w:lang w:eastAsia="en-GB"/>
          </w:rPr>
          <w:t>eSearch Case Law</w:t>
        </w:r>
      </w:hyperlink>
      <w:r w:rsidRPr="00EB3E97">
        <w:rPr>
          <w:rFonts w:ascii="Helvetica Neue" w:eastAsia="Times New Roman" w:hAnsi="Helvetica Neue" w:cs="Times New Roman"/>
          <w:color w:val="333333"/>
          <w:sz w:val="20"/>
          <w:szCs w:val="20"/>
          <w:highlight w:val="yellow"/>
          <w:lang w:eastAsia="en-GB"/>
        </w:rPr>
        <w:t>, the EUIPO tool for EUIPO decisions and judgments of the General Court, the CJEU and national courts.</w:t>
      </w:r>
    </w:p>
    <w:p w14:paraId="31FAC142" w14:textId="77777777" w:rsidR="00BC6621" w:rsidRPr="00BC6621" w:rsidRDefault="00BC6621" w:rsidP="00BC6621">
      <w:pPr>
        <w:rPr>
          <w:rFonts w:ascii="Times New Roman" w:eastAsia="Times New Roman" w:hAnsi="Times New Roman" w:cs="Times New Roman"/>
          <w:lang w:eastAsia="en-GB"/>
        </w:rPr>
      </w:pPr>
    </w:p>
    <w:p w14:paraId="7BD4BCEA" w14:textId="77777777" w:rsidR="00DC3515" w:rsidRDefault="00DC3515"/>
    <w:sectPr w:rsidR="00DC3515"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515"/>
    <w:rsid w:val="00BC6621"/>
    <w:rsid w:val="00DC3515"/>
    <w:rsid w:val="00EB3E97"/>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2CB09DAC"/>
  <w15:chartTrackingRefBased/>
  <w15:docId w15:val="{8702103C-2969-1D43-BD10-6BBBE20A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BC6621"/>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BC6621"/>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BC6621"/>
  </w:style>
  <w:style w:type="character" w:styleId="Hyperlink">
    <w:name w:val="Hyperlink"/>
    <w:basedOn w:val="DefaultParagraphFont"/>
    <w:uiPriority w:val="99"/>
    <w:semiHidden/>
    <w:unhideWhenUsed/>
    <w:rsid w:val="00BC66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80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ipo.europa.eu/eSearchCLW/" TargetMode="External"/><Relationship Id="rId5" Type="http://schemas.openxmlformats.org/officeDocument/2006/relationships/hyperlink" Target="https://euipo.europa.eu/ohimportal/web/observatory/case-law" TargetMode="External"/><Relationship Id="rId4" Type="http://schemas.openxmlformats.org/officeDocument/2006/relationships/hyperlink" Target="https://euipo.europa.eu/tunnel-web/secure/webdav/guest/document_library/observatory/documents/reports/2019_IPR_Enforcement_Case_Law_Collection/2019_IPR_Enforcement_Case_Law_Collection_e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2020-02-24T12:33:00Z</dcterms:created>
  <dcterms:modified xsi:type="dcterms:W3CDTF">2020-03-18T16:32:00Z</dcterms:modified>
</cp:coreProperties>
</file>