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E24B" w14:textId="77777777" w:rsidR="00BC317F" w:rsidRPr="00F77651" w:rsidRDefault="00BC317F" w:rsidP="00BC317F">
      <w:pPr>
        <w:rPr>
          <w:rFonts w:ascii="Times New Roman" w:eastAsia="Times New Roman" w:hAnsi="Times New Roman" w:cs="Times New Roman"/>
          <w:color w:val="000000" w:themeColor="text1"/>
        </w:rPr>
      </w:pPr>
      <w:r w:rsidRPr="00F77651">
        <w:rPr>
          <w:rFonts w:ascii="Times New Roman" w:eastAsia="Times New Roman" w:hAnsi="Times New Roman" w:cs="Times New Roman"/>
          <w:color w:val="000000" w:themeColor="text1"/>
          <w:shd w:val="clear" w:color="auto" w:fill="FFFFFF"/>
        </w:rPr>
        <w:t>Monitoring EU convergence </w:t>
      </w:r>
    </w:p>
    <w:p w14:paraId="61A205A0" w14:textId="77777777" w:rsidR="00BC317F" w:rsidRPr="00F77651" w:rsidRDefault="00BC317F" w:rsidP="00BC317F">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F77651">
        <w:rPr>
          <w:rFonts w:ascii="Arial" w:eastAsia="Times New Roman" w:hAnsi="Arial" w:cs="Arial"/>
          <w:b/>
          <w:bCs/>
          <w:color w:val="000000" w:themeColor="text1"/>
          <w:spacing w:val="-12"/>
          <w:kern w:val="36"/>
          <w:sz w:val="50"/>
          <w:szCs w:val="50"/>
          <w:highlight w:val="lightGray"/>
        </w:rPr>
        <w:t>Better together: Robust upward convergence in employment and socioeconomic conditions strengthens the future of Europe</w:t>
      </w:r>
    </w:p>
    <w:p w14:paraId="1FBEB5AD" w14:textId="77777777" w:rsidR="00BC317F" w:rsidRPr="00F77651" w:rsidRDefault="00BC317F" w:rsidP="00BC317F">
      <w:pPr>
        <w:shd w:val="clear" w:color="auto" w:fill="FFFFFF"/>
        <w:spacing w:line="288" w:lineRule="atLeast"/>
        <w:rPr>
          <w:rFonts w:ascii="Arial" w:eastAsia="Times New Roman" w:hAnsi="Arial" w:cs="Arial"/>
          <w:color w:val="000000" w:themeColor="text1"/>
          <w:sz w:val="18"/>
          <w:szCs w:val="18"/>
        </w:rPr>
      </w:pPr>
      <w:r w:rsidRPr="00F77651">
        <w:rPr>
          <w:rFonts w:ascii="Arial" w:eastAsia="Times New Roman" w:hAnsi="Arial" w:cs="Arial"/>
          <w:color w:val="000000" w:themeColor="text1"/>
          <w:sz w:val="18"/>
          <w:szCs w:val="18"/>
        </w:rPr>
        <w:t>26 September 2019</w:t>
      </w:r>
    </w:p>
    <w:p w14:paraId="724C6C8F" w14:textId="77777777" w:rsidR="00BC317F" w:rsidRPr="00F77651" w:rsidRDefault="00BC317F" w:rsidP="00BC317F">
      <w:pPr>
        <w:shd w:val="clear" w:color="auto" w:fill="FFFFFF"/>
        <w:spacing w:line="288" w:lineRule="atLeast"/>
        <w:rPr>
          <w:rFonts w:ascii="Arial" w:eastAsia="Times New Roman" w:hAnsi="Arial" w:cs="Arial"/>
          <w:color w:val="000000" w:themeColor="text1"/>
          <w:sz w:val="18"/>
          <w:szCs w:val="18"/>
        </w:rPr>
      </w:pPr>
      <w:r w:rsidRPr="00F77651">
        <w:rPr>
          <w:rFonts w:ascii="Arial" w:eastAsia="Times New Roman" w:hAnsi="Arial" w:cs="Arial"/>
          <w:color w:val="000000" w:themeColor="text1"/>
          <w:sz w:val="18"/>
          <w:szCs w:val="18"/>
        </w:rPr>
        <w:t>Topic: </w:t>
      </w:r>
    </w:p>
    <w:p w14:paraId="78EDAB6C" w14:textId="77777777" w:rsidR="00BC317F" w:rsidRPr="00F77651" w:rsidRDefault="00F77651" w:rsidP="00BC317F">
      <w:pPr>
        <w:shd w:val="clear" w:color="auto" w:fill="FFFFFF"/>
        <w:spacing w:line="288" w:lineRule="atLeast"/>
        <w:rPr>
          <w:rFonts w:ascii="Arial" w:eastAsia="Times New Roman" w:hAnsi="Arial" w:cs="Arial"/>
          <w:color w:val="000000" w:themeColor="text1"/>
          <w:sz w:val="18"/>
          <w:szCs w:val="18"/>
        </w:rPr>
      </w:pPr>
      <w:hyperlink r:id="rId5" w:history="1">
        <w:r w:rsidR="00BC317F" w:rsidRPr="00F77651">
          <w:rPr>
            <w:rFonts w:ascii="Arial" w:eastAsia="Times New Roman" w:hAnsi="Arial" w:cs="Arial"/>
            <w:color w:val="000000" w:themeColor="text1"/>
            <w:spacing w:val="5"/>
            <w:sz w:val="18"/>
            <w:szCs w:val="18"/>
            <w:u w:val="single"/>
          </w:rPr>
          <w:t>Monitoring convergence in the European Union</w:t>
        </w:r>
      </w:hyperlink>
    </w:p>
    <w:p w14:paraId="50D649A4" w14:textId="086C6366" w:rsidR="00BC317F" w:rsidRPr="00F77651" w:rsidRDefault="00BC317F" w:rsidP="00BC317F">
      <w:pPr>
        <w:shd w:val="clear" w:color="auto" w:fill="FFFFFF"/>
        <w:rPr>
          <w:rFonts w:ascii="Arial" w:eastAsia="Times New Roman" w:hAnsi="Arial" w:cs="Arial"/>
          <w:color w:val="000000" w:themeColor="text1"/>
          <w:sz w:val="22"/>
          <w:szCs w:val="22"/>
        </w:rPr>
      </w:pPr>
      <w:r w:rsidRPr="00F77651">
        <w:rPr>
          <w:rFonts w:ascii="Arial" w:eastAsia="Times New Roman" w:hAnsi="Arial" w:cs="Arial"/>
          <w:noProof/>
          <w:color w:val="000000" w:themeColor="text1"/>
          <w:sz w:val="22"/>
          <w:szCs w:val="22"/>
        </w:rPr>
        <w:drawing>
          <wp:inline distT="0" distB="0" distL="0" distR="0" wp14:anchorId="05EDF356" wp14:editId="36417683">
            <wp:extent cx="2797810" cy="1856105"/>
            <wp:effectExtent l="0" t="0" r="0" b="0"/>
            <wp:docPr id="1" name="Picture 1" descr="/var/folders/nj/m875g2tj2j50hjqpdb11s_540000gn/T/com.microsoft.Word/WebArchiveCopyPasteTempFiles/image_event_convergence_brussels_26092019.jpg?itok=RnS-3c3M">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event_convergence_brussels_26092019.jpg?itok=RnS-3c3M">
                      <a:hlinkClick r:id="rId6"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7810" cy="1856105"/>
                    </a:xfrm>
                    <a:prstGeom prst="rect">
                      <a:avLst/>
                    </a:prstGeom>
                    <a:noFill/>
                    <a:ln>
                      <a:noFill/>
                    </a:ln>
                  </pic:spPr>
                </pic:pic>
              </a:graphicData>
            </a:graphic>
          </wp:inline>
        </w:drawing>
      </w:r>
    </w:p>
    <w:p w14:paraId="47D3F8B6" w14:textId="77777777" w:rsidR="00BC317F" w:rsidRPr="00F77651" w:rsidRDefault="00BC317F" w:rsidP="00BC317F">
      <w:pPr>
        <w:shd w:val="clear" w:color="auto" w:fill="FFFFFF"/>
        <w:spacing w:after="300" w:line="336" w:lineRule="atLeast"/>
        <w:rPr>
          <w:rFonts w:ascii="inherit" w:eastAsia="Times New Roman" w:hAnsi="inherit" w:cs="Arial"/>
          <w:color w:val="000000" w:themeColor="text1"/>
          <w:sz w:val="22"/>
          <w:szCs w:val="22"/>
        </w:rPr>
      </w:pPr>
      <w:r w:rsidRPr="00F77651">
        <w:rPr>
          <w:rFonts w:ascii="Arial" w:eastAsia="Times New Roman" w:hAnsi="Arial" w:cs="Arial"/>
          <w:b/>
          <w:bCs/>
          <w:color w:val="000000" w:themeColor="text1"/>
          <w:sz w:val="22"/>
          <w:szCs w:val="22"/>
          <w:highlight w:val="darkGray"/>
        </w:rPr>
        <w:t>Strong upward convergence in employment and socioeconomic conditions has emerged between EU Member States over the past 20 years despite the negati</w:t>
      </w:r>
      <w:bookmarkStart w:id="0" w:name="_GoBack"/>
      <w:bookmarkEnd w:id="0"/>
      <w:r w:rsidRPr="00F77651">
        <w:rPr>
          <w:rFonts w:ascii="Arial" w:eastAsia="Times New Roman" w:hAnsi="Arial" w:cs="Arial"/>
          <w:b/>
          <w:bCs/>
          <w:color w:val="000000" w:themeColor="text1"/>
          <w:sz w:val="22"/>
          <w:szCs w:val="22"/>
          <w:highlight w:val="darkGray"/>
        </w:rPr>
        <w:t xml:space="preserve">ve effects of the economic crisis, according to new research from </w:t>
      </w:r>
      <w:proofErr w:type="spellStart"/>
      <w:r w:rsidRPr="00F77651">
        <w:rPr>
          <w:rFonts w:ascii="Arial" w:eastAsia="Times New Roman" w:hAnsi="Arial" w:cs="Arial"/>
          <w:b/>
          <w:bCs/>
          <w:color w:val="000000" w:themeColor="text1"/>
          <w:sz w:val="22"/>
          <w:szCs w:val="22"/>
          <w:highlight w:val="darkGray"/>
        </w:rPr>
        <w:t>Eurofound</w:t>
      </w:r>
      <w:proofErr w:type="spellEnd"/>
      <w:r w:rsidRPr="00F77651">
        <w:rPr>
          <w:rFonts w:ascii="Arial" w:eastAsia="Times New Roman" w:hAnsi="Arial" w:cs="Arial"/>
          <w:b/>
          <w:bCs/>
          <w:color w:val="000000" w:themeColor="text1"/>
          <w:sz w:val="22"/>
          <w:szCs w:val="22"/>
          <w:highlight w:val="darkGray"/>
        </w:rPr>
        <w:t>. ‘Upward convergence in employment and socioeconomic factors’ provides an in-depth look at the issue of upward convergence</w:t>
      </w:r>
      <w:r w:rsidRPr="00F77651">
        <w:rPr>
          <w:rFonts w:ascii="Arial" w:eastAsia="Times New Roman" w:hAnsi="Arial" w:cs="Arial"/>
          <w:b/>
          <w:bCs/>
          <w:color w:val="000000" w:themeColor="text1"/>
          <w:sz w:val="22"/>
          <w:szCs w:val="22"/>
        </w:rPr>
        <w:t xml:space="preserve"> – </w:t>
      </w:r>
      <w:r w:rsidRPr="00F77651">
        <w:rPr>
          <w:rFonts w:ascii="Arial" w:eastAsia="Times New Roman" w:hAnsi="Arial" w:cs="Arial"/>
          <w:b/>
          <w:bCs/>
          <w:color w:val="000000" w:themeColor="text1"/>
          <w:sz w:val="22"/>
          <w:szCs w:val="22"/>
          <w:highlight w:val="lightGray"/>
        </w:rPr>
        <w:t>a trend whereby Member States’ performance improves, while the gaps between Member States diminish. These trends paint an increasingly positive picture of progress in the European Union at this critical juncture.</w:t>
      </w:r>
    </w:p>
    <w:p w14:paraId="29F939AE" w14:textId="77777777" w:rsidR="00BC317F" w:rsidRPr="00F77651" w:rsidRDefault="00BC317F" w:rsidP="00BC317F">
      <w:pPr>
        <w:shd w:val="clear" w:color="auto" w:fill="FFFFFF"/>
        <w:spacing w:after="300" w:line="336" w:lineRule="atLeast"/>
        <w:rPr>
          <w:rFonts w:ascii="inherit" w:eastAsia="Times New Roman" w:hAnsi="inherit" w:cs="Arial"/>
          <w:color w:val="000000" w:themeColor="text1"/>
          <w:sz w:val="22"/>
          <w:szCs w:val="22"/>
        </w:rPr>
      </w:pPr>
      <w:r w:rsidRPr="00F77651">
        <w:rPr>
          <w:rFonts w:ascii="inherit" w:eastAsia="Times New Roman" w:hAnsi="inherit" w:cs="Arial"/>
          <w:color w:val="000000" w:themeColor="text1"/>
          <w:sz w:val="22"/>
          <w:szCs w:val="22"/>
          <w:highlight w:val="lightGray"/>
        </w:rPr>
        <w:t>Sometimes regarded as a niche or technical domain, convergence is an area of intrinsic public interest as it underpins the fundamental EU objective of improving the lives of citizens and reducing inequality in Europe. Achieving upward convergence is of critical importance to the European Union at this time as increasing disparities among Member States potentially threaten cohesion by counteracting citizens’ expectations that EU membership tangibly improve working and living conditions.</w:t>
      </w:r>
      <w:r w:rsidRPr="00F77651">
        <w:rPr>
          <w:rFonts w:ascii="inherit" w:eastAsia="Times New Roman" w:hAnsi="inherit" w:cs="Arial"/>
          <w:color w:val="000000" w:themeColor="text1"/>
          <w:sz w:val="22"/>
          <w:szCs w:val="22"/>
        </w:rPr>
        <w:t xml:space="preserve"> </w:t>
      </w:r>
      <w:proofErr w:type="spellStart"/>
      <w:r w:rsidRPr="00F77651">
        <w:rPr>
          <w:rFonts w:ascii="inherit" w:eastAsia="Times New Roman" w:hAnsi="inherit" w:cs="Arial"/>
          <w:color w:val="000000" w:themeColor="text1"/>
          <w:sz w:val="22"/>
          <w:szCs w:val="22"/>
          <w:highlight w:val="darkGray"/>
        </w:rPr>
        <w:t>Eurofound’s</w:t>
      </w:r>
      <w:proofErr w:type="spellEnd"/>
      <w:r w:rsidRPr="00F77651">
        <w:rPr>
          <w:rFonts w:ascii="inherit" w:eastAsia="Times New Roman" w:hAnsi="inherit" w:cs="Arial"/>
          <w:color w:val="000000" w:themeColor="text1"/>
          <w:sz w:val="22"/>
          <w:szCs w:val="22"/>
          <w:highlight w:val="darkGray"/>
        </w:rPr>
        <w:t xml:space="preserve"> new report is based on 21 indicators related closely to the Social Scoreboard of the European Pillar of Social Rights</w:t>
      </w:r>
    </w:p>
    <w:p w14:paraId="5926A0B3" w14:textId="77777777" w:rsidR="00BC317F" w:rsidRPr="00F77651" w:rsidRDefault="00BC317F" w:rsidP="00BC317F">
      <w:pPr>
        <w:shd w:val="clear" w:color="auto" w:fill="FFFFFF"/>
        <w:spacing w:after="300" w:line="336" w:lineRule="atLeast"/>
        <w:rPr>
          <w:rFonts w:ascii="inherit" w:eastAsia="Times New Roman" w:hAnsi="inherit" w:cs="Arial"/>
          <w:color w:val="000000" w:themeColor="text1"/>
          <w:sz w:val="22"/>
          <w:szCs w:val="22"/>
        </w:rPr>
      </w:pPr>
      <w:r w:rsidRPr="00F77651">
        <w:rPr>
          <w:rFonts w:ascii="inherit" w:eastAsia="Times New Roman" w:hAnsi="inherit" w:cs="Arial"/>
          <w:color w:val="000000" w:themeColor="text1"/>
          <w:sz w:val="22"/>
          <w:szCs w:val="22"/>
          <w:highlight w:val="darkGray"/>
        </w:rPr>
        <w:t xml:space="preserve">Two different dynamics of upward convergence can be identified: one is the steady and robust trends over the entire period considered, in terms of improvement in levels and reduction of disparities among Member States (for indicators such as education and gender gaps, as well as the </w:t>
      </w:r>
      <w:r w:rsidRPr="00F77651">
        <w:rPr>
          <w:rFonts w:ascii="inherit" w:eastAsia="Times New Roman" w:hAnsi="inherit" w:cs="Arial"/>
          <w:color w:val="000000" w:themeColor="text1"/>
          <w:sz w:val="22"/>
          <w:szCs w:val="22"/>
          <w:highlight w:val="darkGray"/>
        </w:rPr>
        <w:lastRenderedPageBreak/>
        <w:t xml:space="preserve">activity rate). The other is the cyclical trends exhibiting a considerable degree of correlation with the business cycle, both in terms of averages and variability (for indicators such as </w:t>
      </w:r>
      <w:proofErr w:type="spellStart"/>
      <w:r w:rsidRPr="00F77651">
        <w:rPr>
          <w:rFonts w:ascii="inherit" w:eastAsia="Times New Roman" w:hAnsi="inherit" w:cs="Arial"/>
          <w:color w:val="000000" w:themeColor="text1"/>
          <w:sz w:val="22"/>
          <w:szCs w:val="22"/>
          <w:highlight w:val="darkGray"/>
        </w:rPr>
        <w:t>labour</w:t>
      </w:r>
      <w:proofErr w:type="spellEnd"/>
      <w:r w:rsidRPr="00F77651">
        <w:rPr>
          <w:rFonts w:ascii="inherit" w:eastAsia="Times New Roman" w:hAnsi="inherit" w:cs="Arial"/>
          <w:color w:val="000000" w:themeColor="text1"/>
          <w:sz w:val="22"/>
          <w:szCs w:val="22"/>
          <w:highlight w:val="darkGray"/>
        </w:rPr>
        <w:t xml:space="preserve"> market participation and exclusion, as well as poverty).</w:t>
      </w:r>
    </w:p>
    <w:p w14:paraId="39EFE0B9" w14:textId="77777777" w:rsidR="00BC317F" w:rsidRPr="00F77651" w:rsidRDefault="00BC317F" w:rsidP="00BC317F">
      <w:pPr>
        <w:shd w:val="clear" w:color="auto" w:fill="FFFFFF"/>
        <w:spacing w:after="300" w:line="336" w:lineRule="atLeast"/>
        <w:rPr>
          <w:rFonts w:ascii="inherit" w:eastAsia="Times New Roman" w:hAnsi="inherit" w:cs="Arial"/>
          <w:color w:val="000000" w:themeColor="text1"/>
          <w:sz w:val="22"/>
          <w:szCs w:val="22"/>
        </w:rPr>
      </w:pPr>
      <w:r w:rsidRPr="00F77651">
        <w:rPr>
          <w:rFonts w:ascii="inherit" w:eastAsia="Times New Roman" w:hAnsi="inherit" w:cs="Arial"/>
          <w:color w:val="000000" w:themeColor="text1"/>
          <w:sz w:val="22"/>
          <w:szCs w:val="22"/>
          <w:highlight w:val="darkGray"/>
        </w:rPr>
        <w:t>For those indicators showing upward convergence in good times (with improvements and lower dispersion) and downward divergence in bad times (with deterioration in levels and higher dispersion), non-euro zone countries converge more quickly than their euro zone counterparts. These are the areas in which Member States should become more resilient in order to avoid future asymmetric shocks.</w:t>
      </w:r>
    </w:p>
    <w:p w14:paraId="428CF00D" w14:textId="77777777" w:rsidR="00BC317F" w:rsidRPr="00F77651" w:rsidRDefault="00BC317F" w:rsidP="00BC317F">
      <w:pPr>
        <w:shd w:val="clear" w:color="auto" w:fill="FFFFFF"/>
        <w:spacing w:after="300" w:line="336" w:lineRule="atLeast"/>
        <w:rPr>
          <w:rFonts w:ascii="inherit" w:eastAsia="Times New Roman" w:hAnsi="inherit" w:cs="Arial"/>
          <w:color w:val="000000" w:themeColor="text1"/>
          <w:sz w:val="22"/>
          <w:szCs w:val="22"/>
        </w:rPr>
      </w:pPr>
      <w:r w:rsidRPr="00F77651">
        <w:rPr>
          <w:rFonts w:ascii="inherit" w:eastAsia="Times New Roman" w:hAnsi="inherit" w:cs="Arial"/>
          <w:color w:val="000000" w:themeColor="text1"/>
          <w:sz w:val="22"/>
          <w:szCs w:val="22"/>
        </w:rPr>
        <w:t xml:space="preserve">The report also notes the importance of regional aspects of convergence, in addition to differences between Member States. </w:t>
      </w:r>
      <w:r w:rsidRPr="00F77651">
        <w:rPr>
          <w:rFonts w:ascii="inherit" w:eastAsia="Times New Roman" w:hAnsi="inherit" w:cs="Arial"/>
          <w:color w:val="000000" w:themeColor="text1"/>
          <w:sz w:val="22"/>
          <w:szCs w:val="22"/>
          <w:highlight w:val="darkGray"/>
        </w:rPr>
        <w:t xml:space="preserve">It found that disparities in socioeconomic and </w:t>
      </w:r>
      <w:proofErr w:type="spellStart"/>
      <w:r w:rsidRPr="00F77651">
        <w:rPr>
          <w:rFonts w:ascii="inherit" w:eastAsia="Times New Roman" w:hAnsi="inherit" w:cs="Arial"/>
          <w:color w:val="000000" w:themeColor="text1"/>
          <w:sz w:val="22"/>
          <w:szCs w:val="22"/>
          <w:highlight w:val="darkGray"/>
        </w:rPr>
        <w:t>labour</w:t>
      </w:r>
      <w:proofErr w:type="spellEnd"/>
      <w:r w:rsidRPr="00F77651">
        <w:rPr>
          <w:rFonts w:ascii="inherit" w:eastAsia="Times New Roman" w:hAnsi="inherit" w:cs="Arial"/>
          <w:color w:val="000000" w:themeColor="text1"/>
          <w:sz w:val="22"/>
          <w:szCs w:val="22"/>
          <w:highlight w:val="darkGray"/>
        </w:rPr>
        <w:t xml:space="preserve"> market indicators are generally greater among EU regions that between countries, which see a more pronounced convergence process.</w:t>
      </w:r>
    </w:p>
    <w:p w14:paraId="33E1EA35" w14:textId="77777777" w:rsidR="00BC317F" w:rsidRPr="00F77651" w:rsidRDefault="00BC317F" w:rsidP="00BC317F">
      <w:pPr>
        <w:shd w:val="clear" w:color="auto" w:fill="FFFFFF"/>
        <w:spacing w:after="300" w:line="336" w:lineRule="atLeast"/>
        <w:rPr>
          <w:rFonts w:ascii="inherit" w:eastAsia="Times New Roman" w:hAnsi="inherit" w:cs="Arial"/>
          <w:color w:val="000000" w:themeColor="text1"/>
          <w:sz w:val="22"/>
          <w:szCs w:val="22"/>
        </w:rPr>
      </w:pPr>
      <w:r w:rsidRPr="00F77651">
        <w:rPr>
          <w:rFonts w:ascii="inherit" w:eastAsia="Times New Roman" w:hAnsi="inherit" w:cs="Arial"/>
          <w:color w:val="000000" w:themeColor="text1"/>
          <w:sz w:val="22"/>
          <w:szCs w:val="22"/>
          <w:highlight w:val="lightGray"/>
        </w:rPr>
        <w:t>The report analyses two proposals to facilitate social and economic convergence: the European unemployment insurance (EUI) scheme, and the European minimum wage (EMW). It projects that an EUI scheme would promote both macroeconomic risk reduction and convergence in socioeconomic conditions for the unemployed. However, there are potential pitfalls and difficulties in implementation that would need to be tackled. The EMW could potentially support greater convergence in disposable incomes and reduce the number of working poor but risks negatively impacting youth and low-skilled employment, as well as impact the autonomy of national and social partners in wage determination.</w:t>
      </w:r>
    </w:p>
    <w:p w14:paraId="7CE2B1AA" w14:textId="77777777" w:rsidR="00BC317F" w:rsidRPr="00F77651" w:rsidRDefault="00BC317F" w:rsidP="00BC317F">
      <w:pPr>
        <w:shd w:val="clear" w:color="auto" w:fill="FFFFFF"/>
        <w:spacing w:after="300" w:line="336" w:lineRule="atLeast"/>
        <w:rPr>
          <w:rFonts w:ascii="inherit" w:eastAsia="Times New Roman" w:hAnsi="inherit" w:cs="Arial"/>
          <w:color w:val="000000" w:themeColor="text1"/>
          <w:sz w:val="22"/>
          <w:szCs w:val="22"/>
        </w:rPr>
      </w:pPr>
      <w:proofErr w:type="spellStart"/>
      <w:r w:rsidRPr="00F77651">
        <w:rPr>
          <w:rFonts w:ascii="inherit" w:eastAsia="Times New Roman" w:hAnsi="inherit" w:cs="Arial"/>
          <w:color w:val="000000" w:themeColor="text1"/>
          <w:sz w:val="22"/>
          <w:szCs w:val="22"/>
          <w:highlight w:val="lightGray"/>
        </w:rPr>
        <w:t>Eurofound’s</w:t>
      </w:r>
      <w:proofErr w:type="spellEnd"/>
      <w:r w:rsidRPr="00F77651">
        <w:rPr>
          <w:rFonts w:ascii="inherit" w:eastAsia="Times New Roman" w:hAnsi="inherit" w:cs="Arial"/>
          <w:color w:val="000000" w:themeColor="text1"/>
          <w:sz w:val="22"/>
          <w:szCs w:val="22"/>
          <w:highlight w:val="lightGray"/>
        </w:rPr>
        <w:t xml:space="preserve"> research is part of the continuous monitoring of upward convergence required to reduce economic and social inequality between Member States. </w:t>
      </w:r>
      <w:proofErr w:type="gramStart"/>
      <w:r w:rsidRPr="00F77651">
        <w:rPr>
          <w:rFonts w:ascii="inherit" w:eastAsia="Times New Roman" w:hAnsi="inherit" w:cs="Arial"/>
          <w:color w:val="000000" w:themeColor="text1"/>
          <w:sz w:val="22"/>
          <w:szCs w:val="22"/>
          <w:highlight w:val="lightGray"/>
        </w:rPr>
        <w:t>Taking into account</w:t>
      </w:r>
      <w:proofErr w:type="gramEnd"/>
      <w:r w:rsidRPr="00F77651">
        <w:rPr>
          <w:rFonts w:ascii="inherit" w:eastAsia="Times New Roman" w:hAnsi="inherit" w:cs="Arial"/>
          <w:color w:val="000000" w:themeColor="text1"/>
          <w:sz w:val="22"/>
          <w:szCs w:val="22"/>
          <w:highlight w:val="lightGray"/>
        </w:rPr>
        <w:t xml:space="preserve"> the challenges that Europe currently faces, effective policy measures are required to strengthen Member States’ resilience and avoid asymmetric propagation of further macro-economic shocks.</w:t>
      </w:r>
    </w:p>
    <w:p w14:paraId="25AB7606" w14:textId="77777777" w:rsidR="00BE080D" w:rsidRPr="00F77651" w:rsidRDefault="00BE080D">
      <w:pPr>
        <w:rPr>
          <w:color w:val="000000" w:themeColor="text1"/>
        </w:rPr>
      </w:pPr>
    </w:p>
    <w:sectPr w:rsidR="00BE080D" w:rsidRPr="00F77651"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8C12F8"/>
    <w:multiLevelType w:val="multilevel"/>
    <w:tmpl w:val="AEEA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65"/>
    <w:rsid w:val="002F2BE9"/>
    <w:rsid w:val="00453EED"/>
    <w:rsid w:val="00897765"/>
    <w:rsid w:val="00BC317F"/>
    <w:rsid w:val="00BE080D"/>
    <w:rsid w:val="00F647AA"/>
    <w:rsid w:val="00F7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FA26D"/>
  <w14:defaultImageDpi w14:val="32767"/>
  <w15:chartTrackingRefBased/>
  <w15:docId w15:val="{9DE59588-1773-364C-8B1F-1E1EFED2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C31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7F"/>
    <w:rPr>
      <w:rFonts w:ascii="Times New Roman" w:eastAsia="Times New Roman" w:hAnsi="Times New Roman" w:cs="Times New Roman"/>
      <w:b/>
      <w:bCs/>
      <w:kern w:val="36"/>
      <w:sz w:val="48"/>
      <w:szCs w:val="48"/>
    </w:rPr>
  </w:style>
  <w:style w:type="character" w:customStyle="1" w:styleId="sai-label">
    <w:name w:val="sai-label"/>
    <w:basedOn w:val="DefaultParagraphFont"/>
    <w:rsid w:val="00BC317F"/>
  </w:style>
  <w:style w:type="character" w:customStyle="1" w:styleId="apple-converted-space">
    <w:name w:val="apple-converted-space"/>
    <w:basedOn w:val="DefaultParagraphFont"/>
    <w:rsid w:val="00BC317F"/>
  </w:style>
  <w:style w:type="character" w:styleId="Hyperlink">
    <w:name w:val="Hyperlink"/>
    <w:basedOn w:val="DefaultParagraphFont"/>
    <w:uiPriority w:val="99"/>
    <w:semiHidden/>
    <w:unhideWhenUsed/>
    <w:rsid w:val="00BC317F"/>
    <w:rPr>
      <w:color w:val="0000FF"/>
      <w:u w:val="single"/>
    </w:rPr>
  </w:style>
  <w:style w:type="paragraph" w:styleId="NormalWeb">
    <w:name w:val="Normal (Web)"/>
    <w:basedOn w:val="Normal"/>
    <w:uiPriority w:val="99"/>
    <w:semiHidden/>
    <w:unhideWhenUsed/>
    <w:rsid w:val="00BC317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C3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065775">
      <w:bodyDiv w:val="1"/>
      <w:marLeft w:val="0"/>
      <w:marRight w:val="0"/>
      <w:marTop w:val="0"/>
      <w:marBottom w:val="0"/>
      <w:divBdr>
        <w:top w:val="none" w:sz="0" w:space="0" w:color="auto"/>
        <w:left w:val="none" w:sz="0" w:space="0" w:color="auto"/>
        <w:bottom w:val="none" w:sz="0" w:space="0" w:color="auto"/>
        <w:right w:val="none" w:sz="0" w:space="0" w:color="auto"/>
      </w:divBdr>
      <w:divsChild>
        <w:div w:id="1443184443">
          <w:marLeft w:val="0"/>
          <w:marRight w:val="0"/>
          <w:marTop w:val="0"/>
          <w:marBottom w:val="0"/>
          <w:divBdr>
            <w:top w:val="none" w:sz="0" w:space="0" w:color="auto"/>
            <w:left w:val="none" w:sz="0" w:space="0" w:color="auto"/>
            <w:bottom w:val="none" w:sz="0" w:space="0" w:color="auto"/>
            <w:right w:val="none" w:sz="0" w:space="0" w:color="auto"/>
          </w:divBdr>
          <w:divsChild>
            <w:div w:id="396590835">
              <w:marLeft w:val="-225"/>
              <w:marRight w:val="-225"/>
              <w:marTop w:val="0"/>
              <w:marBottom w:val="0"/>
              <w:divBdr>
                <w:top w:val="none" w:sz="0" w:space="0" w:color="auto"/>
                <w:left w:val="none" w:sz="0" w:space="0" w:color="auto"/>
                <w:bottom w:val="none" w:sz="0" w:space="0" w:color="auto"/>
                <w:right w:val="none" w:sz="0" w:space="0" w:color="auto"/>
              </w:divBdr>
              <w:divsChild>
                <w:div w:id="2019692189">
                  <w:marLeft w:val="145"/>
                  <w:marRight w:val="145"/>
                  <w:marTop w:val="75"/>
                  <w:marBottom w:val="525"/>
                  <w:divBdr>
                    <w:top w:val="single" w:sz="6" w:space="3" w:color="CCCCCC"/>
                    <w:left w:val="none" w:sz="0" w:space="0" w:color="auto"/>
                    <w:bottom w:val="none" w:sz="0" w:space="0" w:color="auto"/>
                    <w:right w:val="none" w:sz="0" w:space="0" w:color="auto"/>
                  </w:divBdr>
                  <w:divsChild>
                    <w:div w:id="1643920595">
                      <w:marLeft w:val="0"/>
                      <w:marRight w:val="0"/>
                      <w:marTop w:val="0"/>
                      <w:marBottom w:val="0"/>
                      <w:divBdr>
                        <w:top w:val="none" w:sz="0" w:space="0" w:color="auto"/>
                        <w:left w:val="none" w:sz="0" w:space="0" w:color="auto"/>
                        <w:bottom w:val="none" w:sz="0" w:space="0" w:color="auto"/>
                        <w:right w:val="none" w:sz="0" w:space="0" w:color="auto"/>
                      </w:divBdr>
                      <w:divsChild>
                        <w:div w:id="965351748">
                          <w:marLeft w:val="0"/>
                          <w:marRight w:val="150"/>
                          <w:marTop w:val="75"/>
                          <w:marBottom w:val="0"/>
                          <w:divBdr>
                            <w:top w:val="none" w:sz="0" w:space="0" w:color="auto"/>
                            <w:left w:val="none" w:sz="0" w:space="0" w:color="auto"/>
                            <w:bottom w:val="none" w:sz="0" w:space="0" w:color="auto"/>
                            <w:right w:val="single" w:sz="6" w:space="8" w:color="F7931E"/>
                          </w:divBdr>
                        </w:div>
                        <w:div w:id="1348093409">
                          <w:marLeft w:val="0"/>
                          <w:marRight w:val="150"/>
                          <w:marTop w:val="75"/>
                          <w:marBottom w:val="0"/>
                          <w:divBdr>
                            <w:top w:val="none" w:sz="0" w:space="0" w:color="auto"/>
                            <w:left w:val="none" w:sz="0" w:space="0" w:color="auto"/>
                            <w:bottom w:val="none" w:sz="0" w:space="0" w:color="auto"/>
                            <w:right w:val="none" w:sz="0" w:space="0" w:color="auto"/>
                          </w:divBdr>
                          <w:divsChild>
                            <w:div w:id="12088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86179">
              <w:marLeft w:val="-225"/>
              <w:marRight w:val="-225"/>
              <w:marTop w:val="0"/>
              <w:marBottom w:val="0"/>
              <w:divBdr>
                <w:top w:val="none" w:sz="0" w:space="0" w:color="auto"/>
                <w:left w:val="none" w:sz="0" w:space="0" w:color="auto"/>
                <w:bottom w:val="none" w:sz="0" w:space="0" w:color="auto"/>
                <w:right w:val="none" w:sz="0" w:space="0" w:color="auto"/>
              </w:divBdr>
              <w:divsChild>
                <w:div w:id="1598706614">
                  <w:marLeft w:val="0"/>
                  <w:marRight w:val="0"/>
                  <w:marTop w:val="0"/>
                  <w:marBottom w:val="0"/>
                  <w:divBdr>
                    <w:top w:val="none" w:sz="0" w:space="0" w:color="auto"/>
                    <w:left w:val="none" w:sz="0" w:space="0" w:color="auto"/>
                    <w:bottom w:val="none" w:sz="0" w:space="0" w:color="auto"/>
                    <w:right w:val="none" w:sz="0" w:space="0" w:color="auto"/>
                  </w:divBdr>
                  <w:divsChild>
                    <w:div w:id="1720935810">
                      <w:marLeft w:val="0"/>
                      <w:marRight w:val="0"/>
                      <w:marTop w:val="0"/>
                      <w:marBottom w:val="0"/>
                      <w:divBdr>
                        <w:top w:val="none" w:sz="0" w:space="0" w:color="auto"/>
                        <w:left w:val="none" w:sz="0" w:space="0" w:color="auto"/>
                        <w:bottom w:val="none" w:sz="0" w:space="0" w:color="auto"/>
                        <w:right w:val="none" w:sz="0" w:space="0" w:color="auto"/>
                      </w:divBdr>
                    </w:div>
                    <w:div w:id="1352146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ound.europa.eu/sites/default/files/styles/medium/public/ef_news/field_ef_main_image/image_event_convergence_brussels_26092019.jpg?itok=RnS-3c3M" TargetMode="External"/><Relationship Id="rId5" Type="http://schemas.openxmlformats.org/officeDocument/2006/relationships/hyperlink" Target="https://www.eurofound.europa.eu/topics/monitoring-convergence-in-the-european-un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2020-02-20T12:58:00Z</dcterms:created>
  <dcterms:modified xsi:type="dcterms:W3CDTF">2020-05-12T15:09:00Z</dcterms:modified>
</cp:coreProperties>
</file>