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258A1" w14:textId="77777777" w:rsidR="00506880" w:rsidRPr="00506880" w:rsidRDefault="00506880" w:rsidP="00506880">
      <w:pPr>
        <w:spacing w:after="60"/>
        <w:textAlignment w:val="baseline"/>
        <w:outlineLvl w:val="0"/>
        <w:rPr>
          <w:rFonts w:ascii="Lucida Grande" w:eastAsia="Times New Roman" w:hAnsi="Lucida Grande" w:cs="Lucida Grande"/>
          <w:b/>
          <w:bCs/>
          <w:caps/>
          <w:color w:val="2A6AB2"/>
          <w:kern w:val="36"/>
          <w:sz w:val="48"/>
          <w:szCs w:val="48"/>
          <w:lang w:eastAsia="en-GB"/>
        </w:rPr>
      </w:pPr>
      <w:r w:rsidRPr="00506880">
        <w:rPr>
          <w:rFonts w:ascii="Lucida Grande" w:eastAsia="Times New Roman" w:hAnsi="Lucida Grande" w:cs="Lucida Grande"/>
          <w:b/>
          <w:bCs/>
          <w:caps/>
          <w:color w:val="2A6AB2"/>
          <w:kern w:val="36"/>
          <w:sz w:val="48"/>
          <w:szCs w:val="48"/>
          <w:lang w:eastAsia="en-GB"/>
        </w:rPr>
        <w:t>THE 2018 PROGRAMME REVIEW REPORT IS NOW AVAILABLE!</w:t>
      </w:r>
    </w:p>
    <w:bookmarkStart w:id="0" w:name="_GoBack"/>
    <w:bookmarkEnd w:id="0"/>
    <w:p w14:paraId="547ED75A" w14:textId="77777777" w:rsidR="00506880" w:rsidRPr="00506880" w:rsidRDefault="000C5CC0" w:rsidP="00506880">
      <w:pPr>
        <w:jc w:val="both"/>
        <w:textAlignment w:val="baseline"/>
        <w:rPr>
          <w:rFonts w:ascii="inherit" w:eastAsia="Times New Roman" w:hAnsi="inherit" w:cs="Lucida Grande"/>
          <w:color w:val="222222"/>
          <w:sz w:val="23"/>
          <w:szCs w:val="23"/>
          <w:lang w:eastAsia="en-GB"/>
        </w:rPr>
      </w:pPr>
      <w:r w:rsidRPr="000C5CC0">
        <w:rPr>
          <w:rFonts w:ascii="inherit" w:eastAsia="Times New Roman" w:hAnsi="inherit" w:cs="Lucida Grande"/>
          <w:b/>
          <w:bCs/>
          <w:color w:val="004494"/>
          <w:sz w:val="23"/>
          <w:szCs w:val="23"/>
          <w:highlight w:val="lightGray"/>
          <w:u w:val="single"/>
          <w:bdr w:val="none" w:sz="0" w:space="0" w:color="auto" w:frame="1"/>
          <w:lang w:eastAsia="en-GB"/>
        </w:rPr>
        <w:fldChar w:fldCharType="begin"/>
      </w:r>
      <w:r w:rsidRPr="000C5CC0">
        <w:rPr>
          <w:rFonts w:ascii="inherit" w:eastAsia="Times New Roman" w:hAnsi="inherit" w:cs="Lucida Grande"/>
          <w:b/>
          <w:bCs/>
          <w:color w:val="004494"/>
          <w:sz w:val="23"/>
          <w:szCs w:val="23"/>
          <w:highlight w:val="lightGray"/>
          <w:u w:val="single"/>
          <w:bdr w:val="none" w:sz="0" w:space="0" w:color="auto" w:frame="1"/>
          <w:lang w:eastAsia="en-GB"/>
        </w:rPr>
        <w:instrText xml:space="preserve"> HYPERLINK "https://www.fch.europa.eu/sites/default/files/EGAA19001ENN_002_ONLINE%20VERSION%20%28ID%207214731%29_0.pdf" </w:instrText>
      </w:r>
      <w:r w:rsidRPr="000C5CC0">
        <w:rPr>
          <w:rFonts w:ascii="inherit" w:eastAsia="Times New Roman" w:hAnsi="inherit" w:cs="Lucida Grande"/>
          <w:b/>
          <w:bCs/>
          <w:color w:val="004494"/>
          <w:sz w:val="23"/>
          <w:szCs w:val="23"/>
          <w:highlight w:val="lightGray"/>
          <w:u w:val="single"/>
          <w:bdr w:val="none" w:sz="0" w:space="0" w:color="auto" w:frame="1"/>
          <w:lang w:eastAsia="en-GB"/>
        </w:rPr>
        <w:fldChar w:fldCharType="separate"/>
      </w:r>
      <w:r w:rsidR="00506880" w:rsidRPr="000C5CC0">
        <w:rPr>
          <w:rFonts w:ascii="inherit" w:eastAsia="Times New Roman" w:hAnsi="inherit" w:cs="Lucida Grande"/>
          <w:b/>
          <w:bCs/>
          <w:color w:val="004494"/>
          <w:sz w:val="23"/>
          <w:szCs w:val="23"/>
          <w:highlight w:val="lightGray"/>
          <w:u w:val="single"/>
          <w:bdr w:val="none" w:sz="0" w:space="0" w:color="auto" w:frame="1"/>
          <w:lang w:eastAsia="en-GB"/>
        </w:rPr>
        <w:t>The report</w:t>
      </w:r>
      <w:r w:rsidRPr="000C5CC0">
        <w:rPr>
          <w:rFonts w:ascii="inherit" w:eastAsia="Times New Roman" w:hAnsi="inherit" w:cs="Lucida Grande"/>
          <w:b/>
          <w:bCs/>
          <w:color w:val="004494"/>
          <w:sz w:val="23"/>
          <w:szCs w:val="23"/>
          <w:highlight w:val="lightGray"/>
          <w:u w:val="single"/>
          <w:bdr w:val="none" w:sz="0" w:space="0" w:color="auto" w:frame="1"/>
          <w:lang w:eastAsia="en-GB"/>
        </w:rPr>
        <w:fldChar w:fldCharType="end"/>
      </w:r>
      <w:r w:rsidR="00506880" w:rsidRPr="000C5CC0">
        <w:rPr>
          <w:rFonts w:ascii="inherit" w:eastAsia="Times New Roman" w:hAnsi="inherit" w:cs="Lucida Grande"/>
          <w:color w:val="222222"/>
          <w:sz w:val="23"/>
          <w:szCs w:val="23"/>
          <w:highlight w:val="lightGray"/>
          <w:lang w:eastAsia="en-GB"/>
        </w:rPr>
        <w:t>, prepared by the European Commission’s Joint Research Centre (JRC), reviews the activities supported by the FCH 2 JU and in particular the added value, effectiveness and techno-economic efficiency of FCH 2 JU projects.</w:t>
      </w:r>
      <w:r w:rsidR="00506880" w:rsidRPr="00506880">
        <w:rPr>
          <w:rFonts w:ascii="inherit" w:eastAsia="Times New Roman" w:hAnsi="inherit" w:cs="Lucida Grande"/>
          <w:color w:val="222222"/>
          <w:sz w:val="23"/>
          <w:szCs w:val="23"/>
          <w:lang w:eastAsia="en-GB"/>
        </w:rPr>
        <w:t xml:space="preserve"> The report covered 87 projects ongoing during 2017 and assessed the strengths and accomplishments of each panel that would benefit from further attention. The projects were assigned to six review panels under two main pillars – Transport and Energy – and Support for Market Uptake.</w:t>
      </w:r>
    </w:p>
    <w:p w14:paraId="211880BF" w14:textId="77777777" w:rsidR="00506880" w:rsidRPr="00506880" w:rsidRDefault="00506880" w:rsidP="00506880">
      <w:pPr>
        <w:jc w:val="both"/>
        <w:textAlignment w:val="baseline"/>
        <w:rPr>
          <w:rFonts w:ascii="inherit" w:eastAsia="Times New Roman" w:hAnsi="inherit" w:cs="Lucida Grande"/>
          <w:color w:val="222222"/>
          <w:sz w:val="23"/>
          <w:szCs w:val="23"/>
          <w:lang w:eastAsia="en-GB"/>
        </w:rPr>
      </w:pPr>
      <w:r w:rsidRPr="00506880">
        <w:rPr>
          <w:rFonts w:ascii="inherit" w:eastAsia="Times New Roman" w:hAnsi="inherit" w:cs="Lucida Grande"/>
          <w:color w:val="222222"/>
          <w:sz w:val="23"/>
          <w:szCs w:val="23"/>
          <w:lang w:eastAsia="en-GB"/>
        </w:rPr>
        <w:t>in the </w:t>
      </w:r>
      <w:r w:rsidRPr="00506880">
        <w:rPr>
          <w:rFonts w:ascii="inherit" w:eastAsia="Times New Roman" w:hAnsi="inherit" w:cs="Lucida Grande"/>
          <w:b/>
          <w:bCs/>
          <w:color w:val="222222"/>
          <w:sz w:val="23"/>
          <w:szCs w:val="23"/>
          <w:bdr w:val="none" w:sz="0" w:space="0" w:color="auto" w:frame="1"/>
          <w:lang w:eastAsia="en-GB"/>
        </w:rPr>
        <w:t>Transport pillar</w:t>
      </w:r>
      <w:r w:rsidRPr="00506880">
        <w:rPr>
          <w:rFonts w:ascii="inherit" w:eastAsia="Times New Roman" w:hAnsi="inherit" w:cs="Lucida Grande"/>
          <w:color w:val="222222"/>
          <w:sz w:val="23"/>
          <w:szCs w:val="23"/>
          <w:lang w:eastAsia="en-GB"/>
        </w:rPr>
        <w:t>, the review highlights the following strengths of FCH JU funded projects: commitment to FCH technology and its commercialisation, strong links with national and regional programmes, good practice and expertise sharing, the balance of competences among partners, efforts to harmonise testing procedures.</w:t>
      </w:r>
    </w:p>
    <w:p w14:paraId="440FEC30" w14:textId="77777777" w:rsidR="00506880" w:rsidRPr="00506880" w:rsidRDefault="00506880" w:rsidP="00506880">
      <w:pPr>
        <w:jc w:val="both"/>
        <w:textAlignment w:val="baseline"/>
        <w:rPr>
          <w:rFonts w:ascii="inherit" w:eastAsia="Times New Roman" w:hAnsi="inherit" w:cs="Lucida Grande"/>
          <w:color w:val="222222"/>
          <w:sz w:val="23"/>
          <w:szCs w:val="23"/>
          <w:lang w:eastAsia="en-GB"/>
        </w:rPr>
      </w:pPr>
      <w:r w:rsidRPr="00506880">
        <w:rPr>
          <w:rFonts w:ascii="inherit" w:eastAsia="Times New Roman" w:hAnsi="inherit" w:cs="Lucida Grande"/>
          <w:color w:val="222222"/>
          <w:sz w:val="23"/>
          <w:szCs w:val="23"/>
          <w:lang w:eastAsia="en-GB"/>
        </w:rPr>
        <w:t>Among the strengths observed in the </w:t>
      </w:r>
      <w:r w:rsidRPr="00506880">
        <w:rPr>
          <w:rFonts w:ascii="inherit" w:eastAsia="Times New Roman" w:hAnsi="inherit" w:cs="Lucida Grande"/>
          <w:b/>
          <w:bCs/>
          <w:color w:val="222222"/>
          <w:sz w:val="23"/>
          <w:szCs w:val="23"/>
          <w:bdr w:val="none" w:sz="0" w:space="0" w:color="auto" w:frame="1"/>
          <w:lang w:eastAsia="en-GB"/>
        </w:rPr>
        <w:t>Energy pillar</w:t>
      </w:r>
      <w:r w:rsidRPr="00506880">
        <w:rPr>
          <w:rFonts w:ascii="inherit" w:eastAsia="Times New Roman" w:hAnsi="inherit" w:cs="Lucida Grande"/>
          <w:color w:val="222222"/>
          <w:sz w:val="23"/>
          <w:szCs w:val="23"/>
          <w:lang w:eastAsia="en-GB"/>
        </w:rPr>
        <w:t> are increased average lifetime and lower capital costs of certain applications, established companies featuring fuel cells in their product portfolio, active participation of industry, large-scale demonstrations furthering public acceptance and commercial interest. Finally, the upscaling of the electrolyser technology continues, as illustrated below.</w:t>
      </w:r>
    </w:p>
    <w:p w14:paraId="31E4CE3F" w14:textId="77777777" w:rsidR="00506880" w:rsidRPr="00506880" w:rsidRDefault="00506880" w:rsidP="00506880">
      <w:pPr>
        <w:spacing w:before="60" w:after="60"/>
        <w:jc w:val="both"/>
        <w:textAlignment w:val="baseline"/>
        <w:rPr>
          <w:rFonts w:ascii="inherit" w:eastAsia="Times New Roman" w:hAnsi="inherit" w:cs="Lucida Grande"/>
          <w:color w:val="222222"/>
          <w:sz w:val="23"/>
          <w:szCs w:val="23"/>
          <w:lang w:eastAsia="en-GB"/>
        </w:rPr>
      </w:pPr>
      <w:r w:rsidRPr="00506880">
        <w:rPr>
          <w:rFonts w:ascii="inherit" w:eastAsia="Times New Roman" w:hAnsi="inherit" w:cs="Lucida Grande"/>
          <w:color w:val="222222"/>
          <w:sz w:val="23"/>
          <w:szCs w:val="23"/>
          <w:lang w:eastAsia="en-GB"/>
        </w:rPr>
        <w:fldChar w:fldCharType="begin"/>
      </w:r>
      <w:r w:rsidRPr="00506880">
        <w:rPr>
          <w:rFonts w:ascii="inherit" w:eastAsia="Times New Roman" w:hAnsi="inherit" w:cs="Lucida Grande"/>
          <w:color w:val="222222"/>
          <w:sz w:val="23"/>
          <w:szCs w:val="23"/>
          <w:lang w:eastAsia="en-GB"/>
        </w:rPr>
        <w:instrText xml:space="preserve"> INCLUDEPICTURE "/var/folders/_q/q8cs7q6n2_9fjj5fj4lvg5kh0000gp/T/com.microsoft.Word/WebArchiveCopyPasteTempFiles/Graph_PR%20news_0.jpg" \* MERGEFORMATINET </w:instrText>
      </w:r>
      <w:r w:rsidRPr="00506880">
        <w:rPr>
          <w:rFonts w:ascii="inherit" w:eastAsia="Times New Roman" w:hAnsi="inherit" w:cs="Lucida Grande"/>
          <w:color w:val="222222"/>
          <w:sz w:val="23"/>
          <w:szCs w:val="23"/>
          <w:lang w:eastAsia="en-GB"/>
        </w:rPr>
        <w:fldChar w:fldCharType="separate"/>
      </w:r>
      <w:r w:rsidRPr="00506880">
        <w:rPr>
          <w:rFonts w:ascii="inherit" w:eastAsia="Times New Roman" w:hAnsi="inherit" w:cs="Lucida Grande"/>
          <w:noProof/>
          <w:color w:val="222222"/>
          <w:sz w:val="23"/>
          <w:szCs w:val="23"/>
          <w:lang w:eastAsia="en-GB"/>
        </w:rPr>
        <w:drawing>
          <wp:inline distT="0" distB="0" distL="0" distR="0" wp14:anchorId="5192BAD8" wp14:editId="0516CDFC">
            <wp:extent cx="5727700" cy="264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2644775"/>
                    </a:xfrm>
                    <a:prstGeom prst="rect">
                      <a:avLst/>
                    </a:prstGeom>
                    <a:noFill/>
                    <a:ln>
                      <a:noFill/>
                    </a:ln>
                  </pic:spPr>
                </pic:pic>
              </a:graphicData>
            </a:graphic>
          </wp:inline>
        </w:drawing>
      </w:r>
      <w:r w:rsidRPr="00506880">
        <w:rPr>
          <w:rFonts w:ascii="inherit" w:eastAsia="Times New Roman" w:hAnsi="inherit" w:cs="Lucida Grande"/>
          <w:color w:val="222222"/>
          <w:sz w:val="23"/>
          <w:szCs w:val="23"/>
          <w:lang w:eastAsia="en-GB"/>
        </w:rPr>
        <w:fldChar w:fldCharType="end"/>
      </w:r>
    </w:p>
    <w:p w14:paraId="31C91470" w14:textId="77777777" w:rsidR="00506880" w:rsidRPr="00506880" w:rsidRDefault="00506880" w:rsidP="00506880">
      <w:pPr>
        <w:jc w:val="both"/>
        <w:textAlignment w:val="baseline"/>
        <w:rPr>
          <w:rFonts w:ascii="inherit" w:eastAsia="Times New Roman" w:hAnsi="inherit" w:cs="Lucida Grande"/>
          <w:color w:val="222222"/>
          <w:sz w:val="23"/>
          <w:szCs w:val="23"/>
          <w:lang w:eastAsia="en-GB"/>
        </w:rPr>
      </w:pPr>
      <w:r w:rsidRPr="00506880">
        <w:rPr>
          <w:rFonts w:ascii="inherit" w:eastAsia="Times New Roman" w:hAnsi="inherit" w:cs="Lucida Grande"/>
          <w:color w:val="222222"/>
          <w:sz w:val="23"/>
          <w:szCs w:val="23"/>
          <w:lang w:eastAsia="en-GB"/>
        </w:rPr>
        <w:t>Within the </w:t>
      </w:r>
      <w:r w:rsidRPr="00506880">
        <w:rPr>
          <w:rFonts w:ascii="inherit" w:eastAsia="Times New Roman" w:hAnsi="inherit" w:cs="Lucida Grande"/>
          <w:b/>
          <w:bCs/>
          <w:color w:val="222222"/>
          <w:sz w:val="23"/>
          <w:szCs w:val="23"/>
          <w:bdr w:val="none" w:sz="0" w:space="0" w:color="auto" w:frame="1"/>
          <w:lang w:eastAsia="en-GB"/>
        </w:rPr>
        <w:t>Support for Market Uptake</w:t>
      </w:r>
      <w:r w:rsidRPr="00506880">
        <w:rPr>
          <w:rFonts w:ascii="inherit" w:eastAsia="Times New Roman" w:hAnsi="inherit" w:cs="Lucida Grande"/>
          <w:color w:val="222222"/>
          <w:sz w:val="23"/>
          <w:szCs w:val="23"/>
          <w:lang w:eastAsia="en-GB"/>
        </w:rPr>
        <w:t> (cross-cutting) activities, the report highlights the progress made by projects in defining potential cost reductions, producing educational tools and developing analytical methods and test procedures.</w:t>
      </w:r>
    </w:p>
    <w:p w14:paraId="0A21E675" w14:textId="77777777" w:rsidR="00E1094D" w:rsidRDefault="00E1094D"/>
    <w:sectPr w:rsidR="00E1094D"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4D"/>
    <w:rsid w:val="000C5CC0"/>
    <w:rsid w:val="002D60FD"/>
    <w:rsid w:val="00506880"/>
    <w:rsid w:val="00E109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F80FC8B"/>
  <w15:chartTrackingRefBased/>
  <w15:docId w15:val="{1BF1260E-E88C-D642-92ED-A7EDEFCE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688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8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068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6880"/>
    <w:rPr>
      <w:b/>
      <w:bCs/>
    </w:rPr>
  </w:style>
  <w:style w:type="character" w:styleId="Hyperlink">
    <w:name w:val="Hyperlink"/>
    <w:basedOn w:val="DefaultParagraphFont"/>
    <w:uiPriority w:val="99"/>
    <w:semiHidden/>
    <w:unhideWhenUsed/>
    <w:rsid w:val="00506880"/>
    <w:rPr>
      <w:color w:val="0000FF"/>
      <w:u w:val="single"/>
    </w:rPr>
  </w:style>
  <w:style w:type="character" w:customStyle="1" w:styleId="apple-converted-space">
    <w:name w:val="apple-converted-space"/>
    <w:basedOn w:val="DefaultParagraphFont"/>
    <w:rsid w:val="0050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686072">
      <w:bodyDiv w:val="1"/>
      <w:marLeft w:val="0"/>
      <w:marRight w:val="0"/>
      <w:marTop w:val="0"/>
      <w:marBottom w:val="0"/>
      <w:divBdr>
        <w:top w:val="none" w:sz="0" w:space="0" w:color="auto"/>
        <w:left w:val="none" w:sz="0" w:space="0" w:color="auto"/>
        <w:bottom w:val="none" w:sz="0" w:space="0" w:color="auto"/>
        <w:right w:val="none" w:sz="0" w:space="0" w:color="auto"/>
      </w:divBdr>
      <w:divsChild>
        <w:div w:id="1752584551">
          <w:marLeft w:val="0"/>
          <w:marRight w:val="0"/>
          <w:marTop w:val="0"/>
          <w:marBottom w:val="0"/>
          <w:divBdr>
            <w:top w:val="none" w:sz="0" w:space="0" w:color="auto"/>
            <w:left w:val="none" w:sz="0" w:space="0" w:color="auto"/>
            <w:bottom w:val="none" w:sz="0" w:space="0" w:color="auto"/>
            <w:right w:val="none" w:sz="0" w:space="0" w:color="auto"/>
          </w:divBdr>
          <w:divsChild>
            <w:div w:id="631133683">
              <w:marLeft w:val="0"/>
              <w:marRight w:val="0"/>
              <w:marTop w:val="0"/>
              <w:marBottom w:val="0"/>
              <w:divBdr>
                <w:top w:val="none" w:sz="0" w:space="0" w:color="auto"/>
                <w:left w:val="none" w:sz="0" w:space="0" w:color="auto"/>
                <w:bottom w:val="none" w:sz="0" w:space="0" w:color="auto"/>
                <w:right w:val="none" w:sz="0" w:space="0" w:color="auto"/>
              </w:divBdr>
              <w:divsChild>
                <w:div w:id="1121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2020-02-25T13:35:00Z</dcterms:created>
  <dcterms:modified xsi:type="dcterms:W3CDTF">2020-03-26T14:26:00Z</dcterms:modified>
</cp:coreProperties>
</file>