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15095" w14:textId="77777777" w:rsidR="001B7708" w:rsidRPr="001B7708" w:rsidRDefault="001B7708" w:rsidP="001B7708">
      <w:pPr>
        <w:shd w:val="clear" w:color="auto" w:fill="F2F2F2"/>
        <w:spacing w:after="600"/>
        <w:jc w:val="center"/>
        <w:outlineLvl w:val="0"/>
        <w:rPr>
          <w:rFonts w:ascii="inherit" w:eastAsia="Times New Roman" w:hAnsi="inherit" w:cs="Segoe UI"/>
          <w:b/>
          <w:bCs/>
          <w:color w:val="343D55"/>
          <w:kern w:val="36"/>
          <w:sz w:val="33"/>
          <w:szCs w:val="33"/>
        </w:rPr>
      </w:pPr>
      <w:r w:rsidRPr="004358D3">
        <w:rPr>
          <w:rFonts w:ascii="inherit" w:eastAsia="Times New Roman" w:hAnsi="inherit" w:cs="Segoe UI"/>
          <w:b/>
          <w:bCs/>
          <w:color w:val="343D55"/>
          <w:kern w:val="36"/>
          <w:sz w:val="33"/>
          <w:szCs w:val="33"/>
          <w:highlight w:val="cyan"/>
        </w:rPr>
        <w:t>More cooperation and inclusion to better protect EU citizens</w:t>
      </w:r>
      <w:r w:rsidRPr="001B7708">
        <w:rPr>
          <w:rFonts w:ascii="inherit" w:eastAsia="Times New Roman" w:hAnsi="inherit" w:cs="Segoe UI"/>
          <w:b/>
          <w:bCs/>
          <w:color w:val="343D55"/>
          <w:kern w:val="36"/>
          <w:sz w:val="33"/>
          <w:szCs w:val="33"/>
        </w:rPr>
        <w:t> </w:t>
      </w:r>
    </w:p>
    <w:p w14:paraId="65ED2444" w14:textId="77777777" w:rsidR="001B7708" w:rsidRPr="001B7708" w:rsidRDefault="001B7708" w:rsidP="001B7708">
      <w:pPr>
        <w:shd w:val="clear" w:color="auto" w:fill="F2F2F2"/>
        <w:ind w:left="-15" w:right="-15"/>
        <w:jc w:val="center"/>
        <w:rPr>
          <w:rFonts w:ascii="Segoe UI" w:eastAsia="Times New Roman" w:hAnsi="Segoe UI" w:cs="Segoe UI"/>
          <w:color w:val="343D55"/>
        </w:rPr>
      </w:pPr>
      <w:r w:rsidRPr="001B7708">
        <w:rPr>
          <w:rFonts w:ascii="Segoe UI" w:eastAsia="Times New Roman" w:hAnsi="Segoe UI" w:cs="Segoe UI"/>
          <w:color w:val="343D55"/>
        </w:rPr>
        <w:t>Rights areas:</w:t>
      </w:r>
    </w:p>
    <w:p w14:paraId="55953120" w14:textId="77777777" w:rsidR="001B7708" w:rsidRPr="001B7708" w:rsidRDefault="004358D3" w:rsidP="001B7708">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1B7708" w:rsidRPr="001B7708">
          <w:rPr>
            <w:rFonts w:ascii="Segoe UI" w:eastAsia="Times New Roman" w:hAnsi="Segoe UI" w:cs="Segoe UI"/>
            <w:color w:val="004CA6"/>
            <w:sz w:val="18"/>
            <w:szCs w:val="18"/>
            <w:u w:val="single"/>
          </w:rPr>
          <w:t>Business and human rights</w:t>
        </w:r>
      </w:hyperlink>
    </w:p>
    <w:p w14:paraId="578A6C18" w14:textId="074B01AA" w:rsidR="001B7708" w:rsidRPr="001B7708" w:rsidRDefault="001B7708" w:rsidP="001B7708">
      <w:pPr>
        <w:shd w:val="clear" w:color="auto" w:fill="F2F2F2"/>
        <w:jc w:val="center"/>
        <w:rPr>
          <w:rFonts w:ascii="Segoe UI" w:eastAsia="Times New Roman" w:hAnsi="Segoe UI" w:cs="Segoe UI"/>
          <w:color w:val="343D55"/>
        </w:rPr>
      </w:pPr>
      <w:r w:rsidRPr="001B7708">
        <w:rPr>
          <w:rFonts w:ascii="Segoe UI" w:eastAsia="Times New Roman" w:hAnsi="Segoe UI" w:cs="Segoe UI"/>
          <w:color w:val="343D55"/>
        </w:rPr>
        <w:fldChar w:fldCharType="begin"/>
      </w:r>
      <w:r w:rsidRPr="001B7708">
        <w:rPr>
          <w:rFonts w:ascii="Segoe UI" w:eastAsia="Times New Roman" w:hAnsi="Segoe UI" w:cs="Segoe UI"/>
          <w:color w:val="343D55"/>
        </w:rPr>
        <w:instrText xml:space="preserve"> INCLUDEPICTURE "https://fra.europa.eu/sites/default/files/styles/fra_medium/public?itok=yB6604cr" \* MERGEFORMATINET </w:instrText>
      </w:r>
      <w:r w:rsidRPr="001B7708">
        <w:rPr>
          <w:rFonts w:ascii="Segoe UI" w:eastAsia="Times New Roman" w:hAnsi="Segoe UI" w:cs="Segoe UI"/>
          <w:color w:val="343D55"/>
        </w:rPr>
        <w:fldChar w:fldCharType="separate"/>
      </w:r>
      <w:r w:rsidRPr="001B7708">
        <w:rPr>
          <w:rFonts w:ascii="Segoe UI" w:eastAsia="Times New Roman" w:hAnsi="Segoe UI" w:cs="Segoe UI"/>
          <w:noProof/>
          <w:color w:val="343D55"/>
        </w:rPr>
        <mc:AlternateContent>
          <mc:Choice Requires="wps">
            <w:drawing>
              <wp:inline distT="0" distB="0" distL="0" distR="0" wp14:anchorId="480F6F65" wp14:editId="415C26D8">
                <wp:extent cx="307975" cy="307975"/>
                <wp:effectExtent l="0" t="0" r="0" b="0"/>
                <wp:docPr id="1" name="Rectangle 1" descr="https://fra.europa.eu/sites/default/files/styles/fra_medium/public?itok=yB6604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E4822" id="Rectangle 1" o:spid="_x0000_s1026" alt="https://fra.europa.eu/sites/default/files/styles/fra_medium/public?itok=yB6604c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" filled="f" stroked="f">
                <o:lock v:ext="edit" aspectratio="t"/>
                <w10:anchorlock/>
              </v:rect>
            </w:pict>
          </mc:Fallback>
        </mc:AlternateContent>
      </w:r>
      <w:r w:rsidRPr="001B7708">
        <w:rPr>
          <w:rFonts w:ascii="Segoe UI" w:eastAsia="Times New Roman" w:hAnsi="Segoe UI" w:cs="Segoe UI"/>
          <w:color w:val="343D55"/>
        </w:rPr>
        <w:fldChar w:fldCharType="end"/>
      </w:r>
    </w:p>
    <w:p w14:paraId="7461BBE4" w14:textId="77777777" w:rsidR="001B7708" w:rsidRPr="001B7708" w:rsidRDefault="001B7708" w:rsidP="001B7708">
      <w:pPr>
        <w:shd w:val="clear" w:color="auto" w:fill="F2F2F2"/>
        <w:spacing w:after="165"/>
        <w:jc w:val="center"/>
        <w:rPr>
          <w:rFonts w:ascii="Segoe UI" w:eastAsia="Times New Roman" w:hAnsi="Segoe UI" w:cs="Segoe UI"/>
          <w:color w:val="343D55"/>
        </w:rPr>
      </w:pPr>
      <w:r w:rsidRPr="004358D3">
        <w:rPr>
          <w:rFonts w:ascii="Segoe UI" w:eastAsia="Times New Roman" w:hAnsi="Segoe UI" w:cs="Segoe UI"/>
          <w:color w:val="343D55"/>
          <w:highlight w:val="lightGray"/>
        </w:rPr>
        <w:t>On 22 November, the Heads of the nine EU Justice and Home Affairs (JHA) agencies met at Europol’s headquarters in The Hague. The discussions focused on the implementation of the New Strategic Agenda 2019-2024, the state-of-play of the interoperability project and the common efforts in reinforcing diversity and inclusion in the workplace.</w:t>
      </w:r>
      <w:r w:rsidRPr="001B7708">
        <w:rPr>
          <w:rFonts w:ascii="Segoe UI" w:eastAsia="Times New Roman" w:hAnsi="Segoe UI" w:cs="Segoe UI"/>
          <w:color w:val="343D55"/>
        </w:rPr>
        <w:t> </w:t>
      </w:r>
    </w:p>
    <w:p w14:paraId="64721E99" w14:textId="77777777" w:rsidR="001B7708" w:rsidRPr="001B7708" w:rsidRDefault="001B7708" w:rsidP="001B7708">
      <w:pPr>
        <w:numPr>
          <w:ilvl w:val="1"/>
          <w:numId w:val="2"/>
        </w:numPr>
        <w:shd w:val="clear" w:color="auto" w:fill="011D55"/>
        <w:spacing w:before="75"/>
        <w:ind w:left="150" w:right="150"/>
        <w:rPr>
          <w:rFonts w:ascii="Segoe UI" w:eastAsia="Times New Roman" w:hAnsi="Segoe UI" w:cs="Segoe UI"/>
          <w:color w:val="343D55"/>
        </w:rPr>
      </w:pPr>
    </w:p>
    <w:p w14:paraId="090CCEB1" w14:textId="77777777" w:rsidR="001B7708" w:rsidRPr="001B7708" w:rsidRDefault="001B7708" w:rsidP="001B7708">
      <w:pPr>
        <w:spacing w:after="165"/>
        <w:rPr>
          <w:rFonts w:ascii="Segoe UI" w:eastAsia="Times New Roman" w:hAnsi="Segoe UI" w:cs="Segoe UI"/>
          <w:color w:val="343D55"/>
        </w:rPr>
      </w:pPr>
      <w:r w:rsidRPr="001B7708">
        <w:rPr>
          <w:rFonts w:ascii="Segoe UI" w:eastAsia="Times New Roman" w:hAnsi="Segoe UI" w:cs="Segoe UI"/>
          <w:color w:val="343D55"/>
        </w:rPr>
        <w:t xml:space="preserve">Europol hosted their annual meeting in the framework of its 2019 chair of the JHA agencies’ network. During its chair, Europol has also </w:t>
      </w:r>
      <w:proofErr w:type="spellStart"/>
      <w:r w:rsidRPr="001B7708">
        <w:rPr>
          <w:rFonts w:ascii="Segoe UI" w:eastAsia="Times New Roman" w:hAnsi="Segoe UI" w:cs="Segoe UI"/>
          <w:color w:val="343D55"/>
        </w:rPr>
        <w:t>organised</w:t>
      </w:r>
      <w:proofErr w:type="spellEnd"/>
      <w:r w:rsidRPr="001B7708">
        <w:rPr>
          <w:rFonts w:ascii="Segoe UI" w:eastAsia="Times New Roman" w:hAnsi="Segoe UI" w:cs="Segoe UI"/>
          <w:color w:val="343D55"/>
        </w:rPr>
        <w:t xml:space="preserve"> five expert meetings on information technologies and cybersecurity, diversity and inclusion, media relations, training, and data protection.</w:t>
      </w:r>
    </w:p>
    <w:p w14:paraId="4B62207C" w14:textId="77777777" w:rsidR="001B7708" w:rsidRPr="001B7708" w:rsidRDefault="001B7708" w:rsidP="001B7708">
      <w:pPr>
        <w:spacing w:after="165"/>
        <w:rPr>
          <w:rFonts w:ascii="Segoe UI" w:eastAsia="Times New Roman" w:hAnsi="Segoe UI" w:cs="Segoe UI"/>
          <w:color w:val="343D55"/>
        </w:rPr>
      </w:pPr>
      <w:r w:rsidRPr="004358D3">
        <w:rPr>
          <w:rFonts w:ascii="Segoe UI" w:eastAsia="Times New Roman" w:hAnsi="Segoe UI" w:cs="Segoe UI"/>
          <w:color w:val="343D55"/>
          <w:highlight w:val="lightGray"/>
        </w:rPr>
        <w:t>The outcome of the meetings that took place under Europol’s chair will serve for the drafting of a joint strategic report with recommendations for the EU Council on the future Internal Security Strategy.</w:t>
      </w:r>
    </w:p>
    <w:p w14:paraId="0E851A21" w14:textId="77777777" w:rsidR="001B7708" w:rsidRPr="001B7708" w:rsidRDefault="001B7708" w:rsidP="001B7708">
      <w:pPr>
        <w:spacing w:after="165"/>
        <w:rPr>
          <w:rFonts w:ascii="Segoe UI" w:eastAsia="Times New Roman" w:hAnsi="Segoe UI" w:cs="Segoe UI"/>
          <w:color w:val="343D55"/>
        </w:rPr>
      </w:pPr>
      <w:r w:rsidRPr="004358D3">
        <w:rPr>
          <w:rFonts w:ascii="Segoe UI" w:eastAsia="Times New Roman" w:hAnsi="Segoe UI" w:cs="Segoe UI"/>
          <w:color w:val="343D55"/>
          <w:highlight w:val="lightGray"/>
        </w:rPr>
        <w:t>The different areas of cooperation and subjects relevant to JHA agencies discussed during the meeting and throughout the Europol chair in 2019 clearly demonstrate the crucial role of the agencies in the EU area of justice, security and freedom.</w:t>
      </w:r>
    </w:p>
    <w:p w14:paraId="234818BD" w14:textId="77777777" w:rsidR="001B7708" w:rsidRPr="001B7708" w:rsidRDefault="001B7708" w:rsidP="001B7708">
      <w:pPr>
        <w:spacing w:after="165"/>
        <w:rPr>
          <w:rFonts w:ascii="Segoe UI" w:eastAsia="Times New Roman" w:hAnsi="Segoe UI" w:cs="Segoe UI"/>
          <w:color w:val="343D55"/>
        </w:rPr>
      </w:pPr>
      <w:r w:rsidRPr="004358D3">
        <w:rPr>
          <w:rFonts w:ascii="Segoe UI" w:eastAsia="Times New Roman" w:hAnsi="Segoe UI" w:cs="Segoe UI"/>
          <w:color w:val="343D55"/>
          <w:highlight w:val="lightGray"/>
        </w:rPr>
        <w:t>While each and every agency is doing its utmost to deliver results according to its respective mandate, there are several horizontal challenges which can be addressed only through even closer inter-agency cooperation</w:t>
      </w:r>
      <w:r w:rsidRPr="001B7708">
        <w:rPr>
          <w:rFonts w:ascii="Segoe UI" w:eastAsia="Times New Roman" w:hAnsi="Segoe UI" w:cs="Segoe UI"/>
          <w:color w:val="343D55"/>
        </w:rPr>
        <w:t>.</w:t>
      </w:r>
    </w:p>
    <w:p w14:paraId="1FE9DFB5" w14:textId="77777777" w:rsidR="001B7708" w:rsidRPr="001B7708" w:rsidRDefault="001B7708" w:rsidP="001B7708">
      <w:pPr>
        <w:spacing w:after="165"/>
        <w:rPr>
          <w:rFonts w:ascii="Segoe UI" w:eastAsia="Times New Roman" w:hAnsi="Segoe UI" w:cs="Segoe UI"/>
          <w:color w:val="343D55"/>
        </w:rPr>
      </w:pPr>
      <w:r w:rsidRPr="001B7708">
        <w:rPr>
          <w:rFonts w:ascii="Segoe UI" w:eastAsia="Times New Roman" w:hAnsi="Segoe UI" w:cs="Segoe UI"/>
          <w:b/>
          <w:bCs/>
          <w:color w:val="343D55"/>
        </w:rPr>
        <w:t>Spotlight on diversity and inclusion           </w:t>
      </w:r>
    </w:p>
    <w:p w14:paraId="6A37DC72" w14:textId="77777777" w:rsidR="001B7708" w:rsidRPr="001B7708" w:rsidRDefault="001B7708" w:rsidP="001B7708">
      <w:pPr>
        <w:spacing w:after="165"/>
        <w:rPr>
          <w:rFonts w:ascii="Segoe UI" w:eastAsia="Times New Roman" w:hAnsi="Segoe UI" w:cs="Segoe UI"/>
          <w:color w:val="343D55"/>
        </w:rPr>
      </w:pPr>
      <w:r w:rsidRPr="004358D3">
        <w:rPr>
          <w:rFonts w:ascii="Segoe UI" w:eastAsia="Times New Roman" w:hAnsi="Segoe UI" w:cs="Segoe UI"/>
          <w:color w:val="343D55"/>
          <w:highlight w:val="lightGray"/>
        </w:rPr>
        <w:t xml:space="preserve">The network has decided to further step-up its efforts in fostering inclusion and diversity and in addressing discriminatory </w:t>
      </w:r>
      <w:proofErr w:type="spellStart"/>
      <w:r w:rsidRPr="004358D3">
        <w:rPr>
          <w:rFonts w:ascii="Segoe UI" w:eastAsia="Times New Roman" w:hAnsi="Segoe UI" w:cs="Segoe UI"/>
          <w:color w:val="343D55"/>
          <w:highlight w:val="lightGray"/>
        </w:rPr>
        <w:t>behaviour</w:t>
      </w:r>
      <w:proofErr w:type="spellEnd"/>
      <w:r w:rsidRPr="004358D3">
        <w:rPr>
          <w:rFonts w:ascii="Segoe UI" w:eastAsia="Times New Roman" w:hAnsi="Segoe UI" w:cs="Segoe UI"/>
          <w:color w:val="343D55"/>
          <w:highlight w:val="lightGray"/>
        </w:rPr>
        <w:t>. During the meeting, the agencies’ representatives have signed a formal engagement to champion equality and ensure equal opportunities for all staff members while embracing their diversity.</w:t>
      </w:r>
    </w:p>
    <w:p w14:paraId="7C10FC5E" w14:textId="77777777" w:rsidR="001B7708" w:rsidRPr="004358D3" w:rsidRDefault="001B7708" w:rsidP="001B7708">
      <w:pPr>
        <w:spacing w:after="165"/>
        <w:rPr>
          <w:rFonts w:ascii="Segoe UI" w:eastAsia="Times New Roman" w:hAnsi="Segoe UI" w:cs="Segoe UI"/>
          <w:color w:val="343D55"/>
          <w:highlight w:val="cyan"/>
        </w:rPr>
      </w:pPr>
      <w:r w:rsidRPr="004358D3">
        <w:rPr>
          <w:rFonts w:ascii="Segoe UI" w:eastAsia="Times New Roman" w:hAnsi="Segoe UI" w:cs="Segoe UI"/>
          <w:color w:val="343D55"/>
          <w:highlight w:val="cyan"/>
        </w:rPr>
        <w:t xml:space="preserve">The common statement highlights the importance of inclusive corporate culture and strong diversity values to increase staff engagement, cohesion and </w:t>
      </w:r>
      <w:proofErr w:type="spellStart"/>
      <w:r w:rsidRPr="004358D3">
        <w:rPr>
          <w:rFonts w:ascii="Segoe UI" w:eastAsia="Times New Roman" w:hAnsi="Segoe UI" w:cs="Segoe UI"/>
          <w:color w:val="343D55"/>
          <w:highlight w:val="cyan"/>
        </w:rPr>
        <w:t>organisational</w:t>
      </w:r>
      <w:proofErr w:type="spellEnd"/>
      <w:r w:rsidRPr="004358D3">
        <w:rPr>
          <w:rFonts w:ascii="Segoe UI" w:eastAsia="Times New Roman" w:hAnsi="Segoe UI" w:cs="Segoe UI"/>
          <w:color w:val="343D55"/>
          <w:highlight w:val="cyan"/>
        </w:rPr>
        <w:t xml:space="preserve"> delivery. The statement focuses on promoting:</w:t>
      </w:r>
    </w:p>
    <w:p w14:paraId="32AEA520" w14:textId="77777777" w:rsidR="001B7708" w:rsidRPr="004358D3" w:rsidRDefault="001B7708" w:rsidP="001B7708">
      <w:pPr>
        <w:numPr>
          <w:ilvl w:val="0"/>
          <w:numId w:val="3"/>
        </w:numPr>
        <w:spacing w:before="100" w:beforeAutospacing="1" w:after="100" w:afterAutospacing="1"/>
        <w:rPr>
          <w:rFonts w:ascii="Segoe UI" w:eastAsia="Times New Roman" w:hAnsi="Segoe UI" w:cs="Segoe UI"/>
          <w:color w:val="343D55"/>
          <w:highlight w:val="cyan"/>
        </w:rPr>
      </w:pPr>
      <w:r w:rsidRPr="004358D3">
        <w:rPr>
          <w:rFonts w:ascii="Segoe UI" w:eastAsia="Times New Roman" w:hAnsi="Segoe UI" w:cs="Segoe UI"/>
          <w:color w:val="343D55"/>
          <w:highlight w:val="cyan"/>
        </w:rPr>
        <w:t>Inclusive corporate culture;</w:t>
      </w:r>
    </w:p>
    <w:p w14:paraId="71018394" w14:textId="77777777" w:rsidR="001B7708" w:rsidRPr="004358D3" w:rsidRDefault="001B7708" w:rsidP="001B7708">
      <w:pPr>
        <w:numPr>
          <w:ilvl w:val="0"/>
          <w:numId w:val="3"/>
        </w:numPr>
        <w:spacing w:before="100" w:beforeAutospacing="1" w:after="100" w:afterAutospacing="1"/>
        <w:rPr>
          <w:rFonts w:ascii="Segoe UI" w:eastAsia="Times New Roman" w:hAnsi="Segoe UI" w:cs="Segoe UI"/>
          <w:color w:val="343D55"/>
          <w:highlight w:val="cyan"/>
        </w:rPr>
      </w:pPr>
      <w:r w:rsidRPr="004358D3">
        <w:rPr>
          <w:rFonts w:ascii="Segoe UI" w:eastAsia="Times New Roman" w:hAnsi="Segoe UI" w:cs="Segoe UI"/>
          <w:color w:val="343D55"/>
          <w:highlight w:val="cyan"/>
        </w:rPr>
        <w:t>Strengthened diversity;</w:t>
      </w:r>
    </w:p>
    <w:p w14:paraId="6221C57E" w14:textId="77777777" w:rsidR="001B7708" w:rsidRPr="004358D3" w:rsidRDefault="001B7708" w:rsidP="001B7708">
      <w:pPr>
        <w:numPr>
          <w:ilvl w:val="0"/>
          <w:numId w:val="3"/>
        </w:numPr>
        <w:spacing w:before="100" w:beforeAutospacing="1" w:after="100" w:afterAutospacing="1"/>
        <w:rPr>
          <w:rFonts w:ascii="Segoe UI" w:eastAsia="Times New Roman" w:hAnsi="Segoe UI" w:cs="Segoe UI"/>
          <w:color w:val="343D55"/>
          <w:highlight w:val="cyan"/>
        </w:rPr>
      </w:pPr>
      <w:r w:rsidRPr="004358D3">
        <w:rPr>
          <w:rFonts w:ascii="Segoe UI" w:eastAsia="Times New Roman" w:hAnsi="Segoe UI" w:cs="Segoe UI"/>
          <w:color w:val="343D55"/>
          <w:highlight w:val="cyan"/>
        </w:rPr>
        <w:t>Corporate awareness of fundamental rights and equal opportunities;</w:t>
      </w:r>
    </w:p>
    <w:p w14:paraId="44A24F03" w14:textId="77777777" w:rsidR="001B7708" w:rsidRPr="004358D3" w:rsidRDefault="001B7708" w:rsidP="001B7708">
      <w:pPr>
        <w:numPr>
          <w:ilvl w:val="0"/>
          <w:numId w:val="3"/>
        </w:numPr>
        <w:spacing w:before="100" w:beforeAutospacing="1" w:after="100" w:afterAutospacing="1"/>
        <w:rPr>
          <w:rFonts w:ascii="Segoe UI" w:eastAsia="Times New Roman" w:hAnsi="Segoe UI" w:cs="Segoe UI"/>
          <w:color w:val="343D55"/>
          <w:highlight w:val="cyan"/>
        </w:rPr>
      </w:pPr>
      <w:r w:rsidRPr="004358D3">
        <w:rPr>
          <w:rFonts w:ascii="Segoe UI" w:eastAsia="Times New Roman" w:hAnsi="Segoe UI" w:cs="Segoe UI"/>
          <w:color w:val="343D55"/>
          <w:highlight w:val="cyan"/>
        </w:rPr>
        <w:t xml:space="preserve">Countering discriminatory </w:t>
      </w:r>
      <w:proofErr w:type="spellStart"/>
      <w:r w:rsidRPr="004358D3">
        <w:rPr>
          <w:rFonts w:ascii="Segoe UI" w:eastAsia="Times New Roman" w:hAnsi="Segoe UI" w:cs="Segoe UI"/>
          <w:color w:val="343D55"/>
          <w:highlight w:val="cyan"/>
        </w:rPr>
        <w:t>behaviour</w:t>
      </w:r>
      <w:proofErr w:type="spellEnd"/>
      <w:r w:rsidRPr="004358D3">
        <w:rPr>
          <w:rFonts w:ascii="Segoe UI" w:eastAsia="Times New Roman" w:hAnsi="Segoe UI" w:cs="Segoe UI"/>
          <w:color w:val="343D55"/>
          <w:highlight w:val="cyan"/>
        </w:rPr>
        <w:t>.</w:t>
      </w:r>
    </w:p>
    <w:p w14:paraId="1E0EBE4C"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45379"/>
    <w:multiLevelType w:val="multilevel"/>
    <w:tmpl w:val="281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C220D"/>
    <w:multiLevelType w:val="multilevel"/>
    <w:tmpl w:val="FE12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00E3A"/>
    <w:multiLevelType w:val="multilevel"/>
    <w:tmpl w:val="DEB8F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F551F"/>
    <w:multiLevelType w:val="multilevel"/>
    <w:tmpl w:val="BCE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78"/>
    <w:rsid w:val="001B7708"/>
    <w:rsid w:val="002D4A78"/>
    <w:rsid w:val="004358D3"/>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1837D"/>
  <w14:defaultImageDpi w14:val="32767"/>
  <w15:chartTrackingRefBased/>
  <w15:docId w15:val="{6AEFBFB1-E6F1-9848-A62C-8DD5BFF4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B770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70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B7708"/>
  </w:style>
  <w:style w:type="paragraph" w:customStyle="1" w:styleId="sr-only">
    <w:name w:val="sr-only"/>
    <w:basedOn w:val="Normal"/>
    <w:rsid w:val="001B77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B7708"/>
    <w:rPr>
      <w:color w:val="0000FF"/>
      <w:u w:val="single"/>
    </w:rPr>
  </w:style>
  <w:style w:type="paragraph" w:styleId="NormalWeb">
    <w:name w:val="Normal (Web)"/>
    <w:basedOn w:val="Normal"/>
    <w:uiPriority w:val="99"/>
    <w:semiHidden/>
    <w:unhideWhenUsed/>
    <w:rsid w:val="001B7708"/>
    <w:pPr>
      <w:spacing w:before="100" w:beforeAutospacing="1" w:after="100" w:afterAutospacing="1"/>
    </w:pPr>
    <w:rPr>
      <w:rFonts w:ascii="Times New Roman" w:eastAsia="Times New Roman" w:hAnsi="Times New Roman" w:cs="Times New Roman"/>
    </w:rPr>
  </w:style>
  <w:style w:type="paragraph" w:customStyle="1" w:styleId="views-row">
    <w:name w:val="views-row"/>
    <w:basedOn w:val="Normal"/>
    <w:rsid w:val="001B770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B7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438540">
      <w:bodyDiv w:val="1"/>
      <w:marLeft w:val="0"/>
      <w:marRight w:val="0"/>
      <w:marTop w:val="0"/>
      <w:marBottom w:val="0"/>
      <w:divBdr>
        <w:top w:val="none" w:sz="0" w:space="0" w:color="auto"/>
        <w:left w:val="none" w:sz="0" w:space="0" w:color="auto"/>
        <w:bottom w:val="none" w:sz="0" w:space="0" w:color="auto"/>
        <w:right w:val="none" w:sz="0" w:space="0" w:color="auto"/>
      </w:divBdr>
      <w:divsChild>
        <w:div w:id="19356150">
          <w:marLeft w:val="-225"/>
          <w:marRight w:val="-225"/>
          <w:marTop w:val="0"/>
          <w:marBottom w:val="0"/>
          <w:divBdr>
            <w:top w:val="none" w:sz="0" w:space="0" w:color="auto"/>
            <w:left w:val="none" w:sz="0" w:space="0" w:color="auto"/>
            <w:bottom w:val="none" w:sz="0" w:space="0" w:color="auto"/>
            <w:right w:val="none" w:sz="0" w:space="0" w:color="auto"/>
          </w:divBdr>
          <w:divsChild>
            <w:div w:id="753668756">
              <w:marLeft w:val="0"/>
              <w:marRight w:val="0"/>
              <w:marTop w:val="0"/>
              <w:marBottom w:val="0"/>
              <w:divBdr>
                <w:top w:val="none" w:sz="0" w:space="0" w:color="auto"/>
                <w:left w:val="none" w:sz="0" w:space="0" w:color="auto"/>
                <w:bottom w:val="none" w:sz="0" w:space="0" w:color="auto"/>
                <w:right w:val="none" w:sz="0" w:space="0" w:color="auto"/>
              </w:divBdr>
            </w:div>
            <w:div w:id="908420490">
              <w:marLeft w:val="0"/>
              <w:marRight w:val="0"/>
              <w:marTop w:val="0"/>
              <w:marBottom w:val="0"/>
              <w:divBdr>
                <w:top w:val="none" w:sz="0" w:space="0" w:color="auto"/>
                <w:left w:val="none" w:sz="0" w:space="0" w:color="auto"/>
                <w:bottom w:val="none" w:sz="0" w:space="0" w:color="auto"/>
                <w:right w:val="none" w:sz="0" w:space="0" w:color="auto"/>
              </w:divBdr>
            </w:div>
          </w:divsChild>
        </w:div>
        <w:div w:id="859514900">
          <w:marLeft w:val="0"/>
          <w:marRight w:val="0"/>
          <w:marTop w:val="0"/>
          <w:marBottom w:val="600"/>
          <w:divBdr>
            <w:top w:val="none" w:sz="0" w:space="0" w:color="auto"/>
            <w:left w:val="none" w:sz="0" w:space="0" w:color="auto"/>
            <w:bottom w:val="none" w:sz="0" w:space="0" w:color="auto"/>
            <w:right w:val="none" w:sz="0" w:space="0" w:color="auto"/>
          </w:divBdr>
          <w:divsChild>
            <w:div w:id="965039975">
              <w:marLeft w:val="0"/>
              <w:marRight w:val="0"/>
              <w:marTop w:val="0"/>
              <w:marBottom w:val="0"/>
              <w:divBdr>
                <w:top w:val="none" w:sz="0" w:space="0" w:color="auto"/>
                <w:left w:val="none" w:sz="0" w:space="0" w:color="auto"/>
                <w:bottom w:val="none" w:sz="0" w:space="0" w:color="auto"/>
                <w:right w:val="none" w:sz="0" w:space="0" w:color="auto"/>
              </w:divBdr>
              <w:divsChild>
                <w:div w:id="18862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8333">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a.europa.eu/en/taxonomy/term/9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2020-02-20T14:01:00Z</dcterms:created>
  <dcterms:modified xsi:type="dcterms:W3CDTF">2020-03-20T14:12:00Z</dcterms:modified>
</cp:coreProperties>
</file>