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767A" w14:textId="77777777" w:rsidR="00AA50F8" w:rsidRPr="00AA50F8" w:rsidRDefault="00AA50F8" w:rsidP="00AA50F8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proofErr w:type="spellStart"/>
      <w:r w:rsidRPr="00AA50F8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>Realising</w:t>
      </w:r>
      <w:proofErr w:type="spellEnd"/>
      <w:r w:rsidRPr="00AA50F8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 xml:space="preserve"> a Union of equality for people with disabilities</w:t>
      </w:r>
    </w:p>
    <w:p w14:paraId="35DE233A" w14:textId="77777777" w:rsidR="00AA50F8" w:rsidRPr="00AA50F8" w:rsidRDefault="00AA50F8" w:rsidP="00AA50F8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AA50F8">
        <w:rPr>
          <w:rFonts w:ascii="Segoe UI" w:eastAsia="Times New Roman" w:hAnsi="Segoe UI" w:cs="Segoe UI"/>
          <w:color w:val="343D55"/>
        </w:rPr>
        <w:t>Rights areas:</w:t>
      </w:r>
    </w:p>
    <w:p w14:paraId="25FA3A1E" w14:textId="77777777" w:rsidR="00AA50F8" w:rsidRPr="00AA50F8" w:rsidRDefault="0009796D" w:rsidP="00AA50F8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AA50F8" w:rsidRPr="00AA50F8">
          <w:rPr>
            <w:rFonts w:ascii="Segoe UI" w:eastAsia="Times New Roman" w:hAnsi="Segoe UI" w:cs="Segoe UI"/>
            <w:color w:val="004CA6"/>
            <w:sz w:val="18"/>
            <w:szCs w:val="18"/>
          </w:rPr>
          <w:t>People with disabilities</w:t>
        </w:r>
      </w:hyperlink>
    </w:p>
    <w:p w14:paraId="0B9466C5" w14:textId="77777777" w:rsidR="00AA50F8" w:rsidRPr="00AA50F8" w:rsidRDefault="0009796D" w:rsidP="00AA50F8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6" w:history="1">
        <w:r w:rsidR="00AA50F8" w:rsidRPr="00AA50F8">
          <w:rPr>
            <w:rFonts w:ascii="Segoe UI" w:eastAsia="Times New Roman" w:hAnsi="Segoe UI" w:cs="Segoe UI"/>
            <w:color w:val="004CA6"/>
            <w:sz w:val="18"/>
            <w:szCs w:val="18"/>
          </w:rPr>
          <w:t>Equality, non-discrimination and racism</w:t>
        </w:r>
      </w:hyperlink>
    </w:p>
    <w:p w14:paraId="57374D2F" w14:textId="7DDAECBF" w:rsidR="00AA50F8" w:rsidRPr="00AA50F8" w:rsidRDefault="00AA50F8" w:rsidP="00AA50F8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AA50F8">
        <w:rPr>
          <w:rFonts w:ascii="Segoe UI" w:eastAsia="Times New Roman" w:hAnsi="Segoe UI" w:cs="Segoe UI"/>
          <w:color w:val="343D55"/>
        </w:rPr>
        <w:fldChar w:fldCharType="begin"/>
      </w:r>
      <w:r w:rsidRPr="00AA50F8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"/var/folders/nj/m875g2tj2j50hjqpdb11s_540000gn/T/com.microsoft.Word/WebArchiveCopyPasteTempFiles/adobestock_40898513_muro_down_couple_credit.jpg?itok=yphzCF2t" \* MERGEFORMATINET </w:instrText>
      </w:r>
      <w:r w:rsidRPr="00AA50F8">
        <w:rPr>
          <w:rFonts w:ascii="Segoe UI" w:eastAsia="Times New Roman" w:hAnsi="Segoe UI" w:cs="Segoe UI"/>
          <w:color w:val="343D55"/>
        </w:rPr>
        <w:fldChar w:fldCharType="separate"/>
      </w:r>
      <w:r w:rsidRPr="00AA50F8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7364C7C3" wp14:editId="0B9F6B10">
            <wp:extent cx="4572000" cy="3023870"/>
            <wp:effectExtent l="0" t="0" r="0" b="0"/>
            <wp:docPr id="1" name="Picture 1" descr="/var/folders/nj/m875g2tj2j50hjqpdb11s_540000gn/T/com.microsoft.Word/WebArchiveCopyPasteTempFiles/adobestock_40898513_muro_down_couple_credit.jpg?itok=yphzCF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dobestock_40898513_muro_down_couple_credit.jpg?itok=yphzCF2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0F8">
        <w:rPr>
          <w:rFonts w:ascii="Segoe UI" w:eastAsia="Times New Roman" w:hAnsi="Segoe UI" w:cs="Segoe UI"/>
          <w:color w:val="343D55"/>
        </w:rPr>
        <w:fldChar w:fldCharType="end"/>
      </w:r>
    </w:p>
    <w:p w14:paraId="7F98F80F" w14:textId="77777777" w:rsidR="00AA50F8" w:rsidRPr="00AA50F8" w:rsidRDefault="00AA50F8" w:rsidP="00AA50F8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41784A">
        <w:rPr>
          <w:rFonts w:ascii="Segoe UI" w:eastAsia="Times New Roman" w:hAnsi="Segoe UI" w:cs="Segoe UI"/>
          <w:color w:val="343D55"/>
          <w:highlight w:val="cyan"/>
        </w:rPr>
        <w:t>European Day of Persons with Disabilities is a time to remind ourselves of the urgent need to live up to our commitments to achieve equality for all.</w:t>
      </w:r>
      <w:r w:rsidRPr="00AA50F8">
        <w:rPr>
          <w:rFonts w:ascii="Segoe UI" w:eastAsia="Times New Roman" w:hAnsi="Segoe UI" w:cs="Segoe UI"/>
          <w:color w:val="343D55"/>
        </w:rPr>
        <w:t xml:space="preserve"> This is especially pressing since the European Disability Strategy will end in 2020.</w:t>
      </w:r>
    </w:p>
    <w:p w14:paraId="2A715E8C" w14:textId="77777777" w:rsidR="00AA50F8" w:rsidRPr="00AA50F8" w:rsidRDefault="00AA50F8" w:rsidP="00AA50F8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AA50F8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5A44E784" w14:textId="77777777" w:rsidR="00AA50F8" w:rsidRPr="00AA50F8" w:rsidRDefault="0009796D" w:rsidP="00AA50F8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8" w:history="1">
        <w:r w:rsidR="00AA50F8" w:rsidRPr="00AA50F8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From institutions to community living for persons with disabilities: perspectives from the ground</w:t>
        </w:r>
      </w:hyperlink>
    </w:p>
    <w:p w14:paraId="207297CF" w14:textId="77777777" w:rsidR="00AA50F8" w:rsidRPr="00AA50F8" w:rsidRDefault="0009796D" w:rsidP="00AA50F8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9" w:history="1">
        <w:r w:rsidR="00AA50F8" w:rsidRPr="00AA50F8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VIEW THE INFOGRAPHIC</w:t>
        </w:r>
      </w:hyperlink>
    </w:p>
    <w:p w14:paraId="6736A668" w14:textId="77777777" w:rsidR="00AA50F8" w:rsidRPr="00AA50F8" w:rsidRDefault="0009796D" w:rsidP="00AA50F8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10" w:history="1">
        <w:r w:rsidR="00AA50F8" w:rsidRPr="00AA50F8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WATCH THE VIDEO</w:t>
        </w:r>
      </w:hyperlink>
    </w:p>
    <w:p w14:paraId="369AC530" w14:textId="77777777" w:rsidR="00AA50F8" w:rsidRPr="00AA50F8" w:rsidRDefault="0009796D" w:rsidP="00AA50F8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11" w:anchor="TabPubHumanStories" w:history="1">
        <w:r w:rsidR="00AA50F8" w:rsidRPr="00AA50F8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READ THE HUMAN STORIES</w:t>
        </w:r>
      </w:hyperlink>
    </w:p>
    <w:p w14:paraId="6A8BA15F" w14:textId="77777777" w:rsidR="00AA50F8" w:rsidRPr="00AA50F8" w:rsidRDefault="0009796D" w:rsidP="00AA50F8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  <w:hyperlink r:id="rId12" w:anchor="downloads" w:history="1">
        <w:r w:rsidR="00AA50F8" w:rsidRPr="00AA50F8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DOWNLOAD PROJECT FACTSHEETS</w:t>
        </w:r>
      </w:hyperlink>
    </w:p>
    <w:p w14:paraId="09BA98AD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AA50F8">
        <w:rPr>
          <w:rFonts w:ascii="Segoe UI" w:eastAsia="Times New Roman" w:hAnsi="Segoe UI" w:cs="Segoe UI"/>
          <w:color w:val="343D55"/>
        </w:rPr>
        <w:t xml:space="preserve">Both the EU and all its Member States are party to the UN’s Convention on the Rights of Persons with </w:t>
      </w:r>
      <w:proofErr w:type="gramStart"/>
      <w:r w:rsidRPr="00AA50F8">
        <w:rPr>
          <w:rFonts w:ascii="Segoe UI" w:eastAsia="Times New Roman" w:hAnsi="Segoe UI" w:cs="Segoe UI"/>
          <w:color w:val="343D55"/>
        </w:rPr>
        <w:t xml:space="preserve">Disabilities, </w:t>
      </w:r>
      <w:r w:rsidRPr="0009796D">
        <w:rPr>
          <w:rFonts w:ascii="Segoe UI" w:eastAsia="Times New Roman" w:hAnsi="Segoe UI" w:cs="Segoe UI"/>
          <w:color w:val="343D55"/>
          <w:highlight w:val="cyan"/>
        </w:rPr>
        <w:t>and</w:t>
      </w:r>
      <w:proofErr w:type="gramEnd"/>
      <w:r w:rsidRPr="0009796D">
        <w:rPr>
          <w:rFonts w:ascii="Segoe UI" w:eastAsia="Times New Roman" w:hAnsi="Segoe UI" w:cs="Segoe UI"/>
          <w:color w:val="343D55"/>
          <w:highlight w:val="cyan"/>
        </w:rPr>
        <w:t xml:space="preserve"> must therefore </w:t>
      </w:r>
      <w:proofErr w:type="spellStart"/>
      <w:r w:rsidRPr="0009796D">
        <w:rPr>
          <w:rFonts w:ascii="Segoe UI" w:eastAsia="Times New Roman" w:hAnsi="Segoe UI" w:cs="Segoe UI"/>
          <w:color w:val="343D55"/>
          <w:highlight w:val="cyan"/>
        </w:rPr>
        <w:t>honour</w:t>
      </w:r>
      <w:proofErr w:type="spellEnd"/>
      <w:r w:rsidRPr="0009796D">
        <w:rPr>
          <w:rFonts w:ascii="Segoe UI" w:eastAsia="Times New Roman" w:hAnsi="Segoe UI" w:cs="Segoe UI"/>
          <w:color w:val="343D55"/>
          <w:highlight w:val="cyan"/>
        </w:rPr>
        <w:t xml:space="preserve"> the commitments made.</w:t>
      </w:r>
    </w:p>
    <w:p w14:paraId="567FCC2F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This is a matter of urgency, especially as Europe’s population ageing continues to grow resulting in more and more people with disabilities</w:t>
      </w:r>
      <w:r w:rsidRPr="00AA50F8">
        <w:rPr>
          <w:rFonts w:ascii="Segoe UI" w:eastAsia="Times New Roman" w:hAnsi="Segoe UI" w:cs="Segoe UI"/>
          <w:color w:val="343D55"/>
        </w:rPr>
        <w:t>.</w:t>
      </w:r>
    </w:p>
    <w:p w14:paraId="7FC90EC5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The Convention is a proven driver for change. A </w:t>
      </w:r>
      <w:hyperlink r:id="rId13" w:history="1">
        <w:r w:rsidRPr="0009796D">
          <w:rPr>
            <w:rFonts w:ascii="Segoe UI" w:eastAsia="Times New Roman" w:hAnsi="Segoe UI" w:cs="Segoe UI"/>
            <w:color w:val="004CA6"/>
            <w:highlight w:val="lightGray"/>
          </w:rPr>
          <w:t>2015 FRA paper</w:t>
        </w:r>
      </w:hyperlink>
      <w:r w:rsidRPr="0009796D">
        <w:rPr>
          <w:rFonts w:ascii="Segoe UI" w:eastAsia="Times New Roman" w:hAnsi="Segoe UI" w:cs="Segoe UI"/>
          <w:color w:val="343D55"/>
          <w:highlight w:val="lightGray"/>
        </w:rPr>
        <w:t> underscored how it is a catalyst for wide-ranging legal and policy changes across the EU</w:t>
      </w:r>
      <w:r w:rsidRPr="00AA50F8">
        <w:rPr>
          <w:rFonts w:ascii="Segoe UI" w:eastAsia="Times New Roman" w:hAnsi="Segoe UI" w:cs="Segoe UI"/>
          <w:color w:val="343D55"/>
        </w:rPr>
        <w:t>.</w:t>
      </w:r>
    </w:p>
    <w:p w14:paraId="5F48AAC1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lastRenderedPageBreak/>
        <w:t>It led to national disability action plans and strategies.</w:t>
      </w:r>
    </w:p>
    <w:p w14:paraId="01CB8C74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It also drove some Member States to change their laws and policies to grant people with disabilities more autonomy, as well as more choice and control over their lives.</w:t>
      </w:r>
    </w:p>
    <w:p w14:paraId="78D7E58D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Now as the new European Parliament and Commission take shape, there is a fresh impetus to act similarly.</w:t>
      </w:r>
    </w:p>
    <w:p w14:paraId="0D8E40E6" w14:textId="77777777" w:rsidR="00AA50F8" w:rsidRPr="0009796D" w:rsidRDefault="00AA50F8" w:rsidP="00AA50F8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There are encouraging signs from the new European Commission.</w:t>
      </w:r>
    </w:p>
    <w:p w14:paraId="255C6689" w14:textId="77777777" w:rsidR="00AA50F8" w:rsidRPr="0009796D" w:rsidRDefault="00AA50F8" w:rsidP="00AA50F8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European Commission President Ursula von der </w:t>
      </w:r>
      <w:proofErr w:type="spellStart"/>
      <w:r w:rsidRPr="0009796D">
        <w:rPr>
          <w:rFonts w:ascii="Segoe UI" w:eastAsia="Times New Roman" w:hAnsi="Segoe UI" w:cs="Segoe UI"/>
          <w:color w:val="343D55"/>
          <w:highlight w:val="lightGray"/>
        </w:rPr>
        <w:t>Leyen</w:t>
      </w:r>
      <w:proofErr w:type="spellEnd"/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 instructed the Equality Commissioner, Helena </w:t>
      </w:r>
      <w:proofErr w:type="spellStart"/>
      <w:r w:rsidRPr="0009796D">
        <w:rPr>
          <w:rFonts w:ascii="Segoe UI" w:eastAsia="Times New Roman" w:hAnsi="Segoe UI" w:cs="Segoe UI"/>
          <w:color w:val="343D55"/>
          <w:highlight w:val="lightGray"/>
        </w:rPr>
        <w:t>Dalli</w:t>
      </w:r>
      <w:proofErr w:type="spellEnd"/>
      <w:r w:rsidRPr="0009796D">
        <w:rPr>
          <w:rFonts w:ascii="Segoe UI" w:eastAsia="Times New Roman" w:hAnsi="Segoe UI" w:cs="Segoe UI"/>
          <w:color w:val="343D55"/>
          <w:highlight w:val="lightGray"/>
        </w:rPr>
        <w:t>, to lead on the EU’s implementation of the Convention.</w:t>
      </w:r>
    </w:p>
    <w:p w14:paraId="64D66B56" w14:textId="77777777" w:rsidR="00AA50F8" w:rsidRPr="0009796D" w:rsidRDefault="00AA50F8" w:rsidP="00AA50F8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Commissioner </w:t>
      </w:r>
      <w:proofErr w:type="spellStart"/>
      <w:r w:rsidRPr="0009796D">
        <w:rPr>
          <w:rFonts w:ascii="Segoe UI" w:eastAsia="Times New Roman" w:hAnsi="Segoe UI" w:cs="Segoe UI"/>
          <w:color w:val="343D55"/>
          <w:highlight w:val="lightGray"/>
        </w:rPr>
        <w:t>Dalli</w:t>
      </w:r>
      <w:proofErr w:type="spellEnd"/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 proposes to carefully review the evaluation of the EU’s current disability </w:t>
      </w:r>
      <w:proofErr w:type="gramStart"/>
      <w:r w:rsidRPr="0009796D">
        <w:rPr>
          <w:rFonts w:ascii="Segoe UI" w:eastAsia="Times New Roman" w:hAnsi="Segoe UI" w:cs="Segoe UI"/>
          <w:color w:val="343D55"/>
          <w:highlight w:val="lightGray"/>
        </w:rPr>
        <w:t>strategy, and</w:t>
      </w:r>
      <w:proofErr w:type="gramEnd"/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 ensure all future EU laws and policies fully comply with the Convention and the needs of people with disabilities.</w:t>
      </w:r>
    </w:p>
    <w:p w14:paraId="10E0ACB8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She will also directly involve people with disabilities and their families to set priorities for advancing the rights of people with disabilities. She will also consult </w:t>
      </w:r>
      <w:proofErr w:type="spellStart"/>
      <w:r w:rsidRPr="0009796D">
        <w:rPr>
          <w:rFonts w:ascii="Segoe UI" w:eastAsia="Times New Roman" w:hAnsi="Segoe UI" w:cs="Segoe UI"/>
          <w:color w:val="343D55"/>
          <w:highlight w:val="lightGray"/>
        </w:rPr>
        <w:t>organisations</w:t>
      </w:r>
      <w:proofErr w:type="spellEnd"/>
      <w:r w:rsidRPr="0009796D">
        <w:rPr>
          <w:rFonts w:ascii="Segoe UI" w:eastAsia="Times New Roman" w:hAnsi="Segoe UI" w:cs="Segoe UI"/>
          <w:color w:val="343D55"/>
          <w:highlight w:val="lightGray"/>
        </w:rPr>
        <w:t xml:space="preserve"> and relevant stakeholders.</w:t>
      </w:r>
      <w:bookmarkStart w:id="0" w:name="_GoBack"/>
      <w:bookmarkEnd w:id="0"/>
    </w:p>
    <w:p w14:paraId="164EC698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cyan"/>
        </w:rPr>
        <w:t>The Convention, together with EU and national laws, provide a solid platform to make a tangible difference to the lives of people with disabilities. This includes, for example, moving towards </w:t>
      </w:r>
      <w:hyperlink r:id="rId14" w:history="1">
        <w:r w:rsidRPr="0009796D">
          <w:rPr>
            <w:rFonts w:ascii="Segoe UI" w:eastAsia="Times New Roman" w:hAnsi="Segoe UI" w:cs="Segoe UI"/>
            <w:color w:val="004CA6"/>
            <w:highlight w:val="cyan"/>
          </w:rPr>
          <w:t>community-based living and greater accessibility</w:t>
        </w:r>
      </w:hyperlink>
      <w:r w:rsidRPr="0009796D">
        <w:rPr>
          <w:rFonts w:ascii="Segoe UI" w:eastAsia="Times New Roman" w:hAnsi="Segoe UI" w:cs="Segoe UI"/>
          <w:color w:val="343D55"/>
          <w:highlight w:val="cyan"/>
        </w:rPr>
        <w:t>.</w:t>
      </w:r>
    </w:p>
    <w:p w14:paraId="67256E16" w14:textId="77777777" w:rsidR="00AA50F8" w:rsidRPr="00AA50F8" w:rsidRDefault="00AA50F8" w:rsidP="00AA50F8">
      <w:pPr>
        <w:spacing w:after="165"/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lightGray"/>
        </w:rPr>
        <w:t>But real change also requires Member States to effectively implement these laws and make them work.</w:t>
      </w:r>
    </w:p>
    <w:p w14:paraId="21FD3D07" w14:textId="77777777" w:rsidR="00AA50F8" w:rsidRPr="00AA50F8" w:rsidRDefault="00AA50F8" w:rsidP="00AA50F8">
      <w:pPr>
        <w:rPr>
          <w:rFonts w:ascii="Segoe UI" w:eastAsia="Times New Roman" w:hAnsi="Segoe UI" w:cs="Segoe UI"/>
          <w:color w:val="343D55"/>
        </w:rPr>
      </w:pPr>
      <w:r w:rsidRPr="0009796D">
        <w:rPr>
          <w:rFonts w:ascii="Segoe UI" w:eastAsia="Times New Roman" w:hAnsi="Segoe UI" w:cs="Segoe UI"/>
          <w:color w:val="343D55"/>
          <w:highlight w:val="cyan"/>
        </w:rPr>
        <w:t>Only then can Europe fulfil its political commitment to a ‘Union of Equality’ that will deliver real results for people with disabilities, so they will be in a better position to enjoy their rights on an equal basis as others.</w:t>
      </w:r>
    </w:p>
    <w:p w14:paraId="7C5523EB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C4B8A"/>
    <w:multiLevelType w:val="multilevel"/>
    <w:tmpl w:val="7B56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40B26"/>
    <w:multiLevelType w:val="multilevel"/>
    <w:tmpl w:val="CE6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09796D"/>
    <w:rsid w:val="0041784A"/>
    <w:rsid w:val="00453EED"/>
    <w:rsid w:val="009252D5"/>
    <w:rsid w:val="00AA50F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2F92F"/>
  <w14:defaultImageDpi w14:val="32767"/>
  <w15:chartTrackingRefBased/>
  <w15:docId w15:val="{5A652C35-3A52-A343-8F8F-347A5E46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0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50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50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AA5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A50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5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A50F8"/>
    <w:rPr>
      <w:b/>
      <w:bCs/>
    </w:rPr>
  </w:style>
  <w:style w:type="paragraph" w:customStyle="1" w:styleId="views-row">
    <w:name w:val="views-row"/>
    <w:basedOn w:val="Normal"/>
    <w:rsid w:val="00AA5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A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8727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4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135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.europa.eu/node/35850" TargetMode="External"/><Relationship Id="rId13" Type="http://schemas.openxmlformats.org/officeDocument/2006/relationships/hyperlink" Target="https://fra.europa.eu/en/publication/2015/implementing-un-crpd-overview-legal-reforms-eu-member-st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ra.europa.eu/en/project/2014/right-independent-living-persons-disab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a.europa.eu/en/taxonomy/term/974" TargetMode="External"/><Relationship Id="rId11" Type="http://schemas.openxmlformats.org/officeDocument/2006/relationships/hyperlink" Target="https://fra.europa.eu/en/publication/2018/institutions-community-living-persons-disabilities-perspectives-ground" TargetMode="External"/><Relationship Id="rId5" Type="http://schemas.openxmlformats.org/officeDocument/2006/relationships/hyperlink" Target="https://fra.europa.eu/en/taxonomy/term/97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a.europa.eu/en/video/2018/independent-living-people-disabi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ublications-and-resources/infographics/5-success-factors-road-independent-living-people" TargetMode="External"/><Relationship Id="rId14" Type="http://schemas.openxmlformats.org/officeDocument/2006/relationships/hyperlink" Target="https://fra.europa.eu/en/publication/2018/independent-living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2020-02-20T13:58:00Z</dcterms:created>
  <dcterms:modified xsi:type="dcterms:W3CDTF">2020-03-20T11:03:00Z</dcterms:modified>
</cp:coreProperties>
</file>