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55E6E" w14:textId="77777777" w:rsidR="00346597" w:rsidRPr="00346597" w:rsidRDefault="00346597" w:rsidP="00346597">
      <w:pPr>
        <w:shd w:val="clear" w:color="auto" w:fill="F2F2F2"/>
        <w:spacing w:after="600"/>
        <w:jc w:val="center"/>
        <w:outlineLvl w:val="0"/>
        <w:rPr>
          <w:rFonts w:ascii="inherit" w:eastAsia="Times New Roman" w:hAnsi="inherit" w:cs="Segoe UI"/>
          <w:b/>
          <w:bCs/>
          <w:color w:val="343D55"/>
          <w:kern w:val="36"/>
          <w:sz w:val="33"/>
          <w:szCs w:val="33"/>
        </w:rPr>
      </w:pPr>
      <w:r w:rsidRPr="00346597">
        <w:rPr>
          <w:rFonts w:ascii="inherit" w:eastAsia="Times New Roman" w:hAnsi="inherit" w:cs="Segoe UI"/>
          <w:b/>
          <w:bCs/>
          <w:color w:val="343D55"/>
          <w:kern w:val="36"/>
          <w:sz w:val="33"/>
          <w:szCs w:val="33"/>
        </w:rPr>
        <w:t>Business-related human rights abuse and remedies</w:t>
      </w:r>
    </w:p>
    <w:p w14:paraId="56D4676B" w14:textId="77777777" w:rsidR="00346597" w:rsidRPr="00346597" w:rsidRDefault="00346597" w:rsidP="00346597">
      <w:pPr>
        <w:shd w:val="clear" w:color="auto" w:fill="F2F2F2"/>
        <w:ind w:left="-15" w:right="-15"/>
        <w:jc w:val="center"/>
        <w:rPr>
          <w:rFonts w:ascii="Segoe UI" w:eastAsia="Times New Roman" w:hAnsi="Segoe UI" w:cs="Segoe UI"/>
          <w:color w:val="343D55"/>
        </w:rPr>
      </w:pPr>
      <w:r w:rsidRPr="00346597">
        <w:rPr>
          <w:rFonts w:ascii="Segoe UI" w:eastAsia="Times New Roman" w:hAnsi="Segoe UI" w:cs="Segoe UI"/>
          <w:color w:val="343D55"/>
        </w:rPr>
        <w:t>Rights areas:</w:t>
      </w:r>
    </w:p>
    <w:p w14:paraId="2D905C53" w14:textId="77777777" w:rsidR="00346597" w:rsidRPr="00346597" w:rsidRDefault="00293A12" w:rsidP="00346597">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346597" w:rsidRPr="00346597">
          <w:rPr>
            <w:rFonts w:ascii="Segoe UI" w:eastAsia="Times New Roman" w:hAnsi="Segoe UI" w:cs="Segoe UI"/>
            <w:color w:val="004CA6"/>
            <w:sz w:val="18"/>
            <w:szCs w:val="18"/>
          </w:rPr>
          <w:t>Business and human rights</w:t>
        </w:r>
      </w:hyperlink>
    </w:p>
    <w:p w14:paraId="16329793" w14:textId="6CC0EF0C" w:rsidR="00346597" w:rsidRPr="00346597" w:rsidRDefault="00346597" w:rsidP="00346597">
      <w:pPr>
        <w:shd w:val="clear" w:color="auto" w:fill="F2F2F2"/>
        <w:jc w:val="center"/>
        <w:rPr>
          <w:rFonts w:ascii="Segoe UI" w:eastAsia="Times New Roman" w:hAnsi="Segoe UI" w:cs="Segoe UI"/>
          <w:color w:val="343D55"/>
        </w:rPr>
      </w:pPr>
      <w:r w:rsidRPr="00346597">
        <w:rPr>
          <w:rFonts w:ascii="Segoe UI" w:eastAsia="Times New Roman" w:hAnsi="Segoe UI" w:cs="Segoe UI"/>
          <w:color w:val="343D55"/>
        </w:rPr>
        <w:fldChar w:fldCharType="begin"/>
      </w:r>
      <w:r w:rsidRPr="00346597">
        <w:rPr>
          <w:rFonts w:ascii="Segoe UI" w:eastAsia="Times New Roman" w:hAnsi="Segoe UI" w:cs="Segoe UI"/>
          <w:color w:val="343D55"/>
        </w:rPr>
        <w:instrText xml:space="preserve"> INCLUDEPICTURE "/var/folders/nj/m875g2tj2j50hjqpdb11s_540000gn/T/com.microsoft.Word/WebArchiveCopyPasteTempFiles/web_-_business_and_human_rights.jpg?itok=5sXFWd3e" \* MERGEFORMATINET </w:instrText>
      </w:r>
      <w:r w:rsidRPr="00346597">
        <w:rPr>
          <w:rFonts w:ascii="Segoe UI" w:eastAsia="Times New Roman" w:hAnsi="Segoe UI" w:cs="Segoe UI"/>
          <w:color w:val="343D55"/>
        </w:rPr>
        <w:fldChar w:fldCharType="separate"/>
      </w:r>
      <w:r w:rsidRPr="00346597">
        <w:rPr>
          <w:rFonts w:ascii="Segoe UI" w:eastAsia="Times New Roman" w:hAnsi="Segoe UI" w:cs="Segoe UI"/>
          <w:noProof/>
          <w:color w:val="343D55"/>
        </w:rPr>
        <w:drawing>
          <wp:inline distT="0" distB="0" distL="0" distR="0" wp14:anchorId="6D9FD759" wp14:editId="0AAEBE23">
            <wp:extent cx="4572000" cy="3051175"/>
            <wp:effectExtent l="0" t="0" r="0" b="0"/>
            <wp:docPr id="1" name="Picture 1" descr="/var/folders/nj/m875g2tj2j50hjqpdb11s_540000gn/T/com.microsoft.Word/WebArchiveCopyPasteTempFiles/web_-_business_and_human_rights.jpg?itok=5sXFW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web_-_business_and_human_rights.jpg?itok=5sXFWd3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346597">
        <w:rPr>
          <w:rFonts w:ascii="Segoe UI" w:eastAsia="Times New Roman" w:hAnsi="Segoe UI" w:cs="Segoe UI"/>
          <w:color w:val="343D55"/>
        </w:rPr>
        <w:fldChar w:fldCharType="end"/>
      </w:r>
    </w:p>
    <w:p w14:paraId="2DED9774" w14:textId="77777777" w:rsidR="00346597" w:rsidRPr="00346597" w:rsidRDefault="00346597" w:rsidP="00346597">
      <w:pPr>
        <w:shd w:val="clear" w:color="auto" w:fill="F2F2F2"/>
        <w:spacing w:after="165"/>
        <w:jc w:val="center"/>
        <w:rPr>
          <w:rFonts w:ascii="Segoe UI" w:eastAsia="Times New Roman" w:hAnsi="Segoe UI" w:cs="Segoe UI"/>
          <w:color w:val="343D55"/>
        </w:rPr>
      </w:pPr>
      <w:r w:rsidRPr="00293A12">
        <w:rPr>
          <w:rFonts w:ascii="Segoe UI" w:eastAsia="Times New Roman" w:hAnsi="Segoe UI" w:cs="Segoe UI"/>
          <w:color w:val="343D55"/>
          <w:highlight w:val="lightGray"/>
        </w:rPr>
        <w:t>Ensuring access to effective remedy is an important part of global efforts to encourage business conduct that respects human rights.</w:t>
      </w:r>
      <w:r w:rsidRPr="00346597">
        <w:rPr>
          <w:rFonts w:ascii="Segoe UI" w:eastAsia="Times New Roman" w:hAnsi="Segoe UI" w:cs="Segoe UI"/>
          <w:color w:val="343D55"/>
        </w:rPr>
        <w:t xml:space="preserve"> </w:t>
      </w:r>
      <w:r w:rsidRPr="00293A12">
        <w:rPr>
          <w:rFonts w:ascii="Segoe UI" w:eastAsia="Times New Roman" w:hAnsi="Segoe UI" w:cs="Segoe UI"/>
          <w:color w:val="343D55"/>
          <w:highlight w:val="darkGray"/>
        </w:rPr>
        <w:t>A new Fundamental Rights Agency’s (FRA) paper looks at examples of business-related human rights abuse and identifies key factors facilitating access to remedy. A comparative report will follow in 2020,</w:t>
      </w:r>
      <w:r w:rsidRPr="00346597">
        <w:rPr>
          <w:rFonts w:ascii="Segoe UI" w:eastAsia="Times New Roman" w:hAnsi="Segoe UI" w:cs="Segoe UI"/>
          <w:color w:val="343D55"/>
        </w:rPr>
        <w:t xml:space="preserve"> </w:t>
      </w:r>
      <w:r w:rsidRPr="00293A12">
        <w:rPr>
          <w:rFonts w:ascii="Segoe UI" w:eastAsia="Times New Roman" w:hAnsi="Segoe UI" w:cs="Segoe UI"/>
          <w:color w:val="343D55"/>
          <w:highlight w:val="lightGray"/>
        </w:rPr>
        <w:t>which will identify obstacles for victims seeking justice and put forward proposals to overcome them.</w:t>
      </w:r>
    </w:p>
    <w:p w14:paraId="0ED807B3" w14:textId="77777777" w:rsidR="00346597" w:rsidRPr="00346597" w:rsidRDefault="00346597" w:rsidP="00346597">
      <w:pPr>
        <w:shd w:val="clear" w:color="auto" w:fill="E2E2E2"/>
        <w:spacing w:after="165"/>
        <w:jc w:val="center"/>
        <w:rPr>
          <w:rFonts w:ascii="Segoe UI" w:eastAsia="Times New Roman" w:hAnsi="Segoe UI" w:cs="Segoe UI"/>
          <w:color w:val="343D55"/>
        </w:rPr>
      </w:pPr>
      <w:r w:rsidRPr="00346597">
        <w:rPr>
          <w:rFonts w:ascii="Segoe UI" w:eastAsia="Times New Roman" w:hAnsi="Segoe UI" w:cs="Segoe UI"/>
          <w:b/>
          <w:bCs/>
          <w:color w:val="343D55"/>
        </w:rPr>
        <w:t>Publication</w:t>
      </w:r>
    </w:p>
    <w:p w14:paraId="10AC073E" w14:textId="77777777" w:rsidR="00346597" w:rsidRPr="00346597" w:rsidRDefault="00293A12" w:rsidP="00346597">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346597" w:rsidRPr="00346597">
          <w:rPr>
            <w:rFonts w:ascii="inherit" w:eastAsia="Times New Roman" w:hAnsi="inherit" w:cs="Segoe UI"/>
            <w:b/>
            <w:bCs/>
            <w:color w:val="004CA6"/>
            <w:sz w:val="30"/>
            <w:szCs w:val="30"/>
          </w:rPr>
          <w:t>Business-related human rights abuse reported in the EU and available remedies</w:t>
        </w:r>
      </w:hyperlink>
    </w:p>
    <w:p w14:paraId="329E8541" w14:textId="77777777" w:rsidR="00346597" w:rsidRPr="00346597" w:rsidRDefault="00346597" w:rsidP="00346597">
      <w:pPr>
        <w:numPr>
          <w:ilvl w:val="1"/>
          <w:numId w:val="2"/>
        </w:numPr>
        <w:shd w:val="clear" w:color="auto" w:fill="011D55"/>
        <w:spacing w:before="75"/>
        <w:ind w:left="150" w:right="150"/>
        <w:rPr>
          <w:rFonts w:ascii="Segoe UI" w:eastAsia="Times New Roman" w:hAnsi="Segoe UI" w:cs="Segoe UI"/>
          <w:color w:val="343D55"/>
        </w:rPr>
      </w:pPr>
    </w:p>
    <w:p w14:paraId="066ADD24" w14:textId="77777777" w:rsidR="00346597" w:rsidRPr="00346597" w:rsidRDefault="00346597" w:rsidP="00346597">
      <w:pPr>
        <w:spacing w:after="165"/>
        <w:rPr>
          <w:rFonts w:ascii="Segoe UI" w:eastAsia="Times New Roman" w:hAnsi="Segoe UI" w:cs="Segoe UI"/>
          <w:color w:val="343D55"/>
        </w:rPr>
      </w:pPr>
      <w:r w:rsidRPr="00293A12">
        <w:rPr>
          <w:rFonts w:ascii="Segoe UI" w:eastAsia="Times New Roman" w:hAnsi="Segoe UI" w:cs="Segoe UI"/>
          <w:color w:val="343D55"/>
          <w:highlight w:val="darkGray"/>
        </w:rPr>
        <w:t>FRA’s paper </w:t>
      </w:r>
      <w:r w:rsidRPr="00293A12">
        <w:rPr>
          <w:rFonts w:ascii="Segoe UI" w:eastAsia="Times New Roman" w:hAnsi="Segoe UI" w:cs="Segoe UI"/>
          <w:i/>
          <w:iCs/>
          <w:color w:val="343D55"/>
          <w:highlight w:val="darkGray"/>
        </w:rPr>
        <w:t>‘</w:t>
      </w:r>
      <w:hyperlink r:id="rId8" w:history="1">
        <w:r w:rsidRPr="00293A12">
          <w:rPr>
            <w:rFonts w:ascii="Segoe UI" w:eastAsia="Times New Roman" w:hAnsi="Segoe UI" w:cs="Segoe UI"/>
            <w:i/>
            <w:iCs/>
            <w:color w:val="004CA6"/>
            <w:highlight w:val="darkGray"/>
          </w:rPr>
          <w:t>Business-related human rights abuse reported in the EU and available remedies</w:t>
        </w:r>
      </w:hyperlink>
      <w:r w:rsidRPr="00293A12">
        <w:rPr>
          <w:rFonts w:ascii="Segoe UI" w:eastAsia="Times New Roman" w:hAnsi="Segoe UI" w:cs="Segoe UI"/>
          <w:i/>
          <w:iCs/>
          <w:color w:val="343D55"/>
          <w:highlight w:val="darkGray"/>
        </w:rPr>
        <w:t>’</w:t>
      </w:r>
      <w:r w:rsidRPr="00293A12">
        <w:rPr>
          <w:rFonts w:ascii="Segoe UI" w:eastAsia="Times New Roman" w:hAnsi="Segoe UI" w:cs="Segoe UI"/>
          <w:color w:val="343D55"/>
          <w:highlight w:val="darkGray"/>
        </w:rPr>
        <w:t> provides an overview of select examples of business-related human rights abuse identified through desk research. It refers to the types of industry sectors involved, the profile of victims and types of rights affected, as well as the complaints mechanisms used.</w:t>
      </w:r>
    </w:p>
    <w:p w14:paraId="4CB26F57" w14:textId="77777777" w:rsidR="00346597" w:rsidRPr="00293A12" w:rsidRDefault="00346597" w:rsidP="00346597">
      <w:pPr>
        <w:spacing w:after="165"/>
        <w:rPr>
          <w:rFonts w:ascii="Segoe UI" w:eastAsia="Times New Roman" w:hAnsi="Segoe UI" w:cs="Segoe UI"/>
          <w:color w:val="343D55"/>
          <w:highlight w:val="darkGray"/>
        </w:rPr>
      </w:pPr>
      <w:r w:rsidRPr="00293A12">
        <w:rPr>
          <w:rFonts w:ascii="Segoe UI" w:eastAsia="Times New Roman" w:hAnsi="Segoe UI" w:cs="Segoe UI"/>
          <w:color w:val="343D55"/>
          <w:highlight w:val="darkGray"/>
        </w:rPr>
        <w:t>The findings presented are linked to FRA’s previous work in this area, in particular its 2017 </w:t>
      </w:r>
      <w:hyperlink r:id="rId9" w:history="1">
        <w:r w:rsidRPr="00293A12">
          <w:rPr>
            <w:rFonts w:ascii="Segoe UI" w:eastAsia="Times New Roman" w:hAnsi="Segoe UI" w:cs="Segoe UI"/>
            <w:color w:val="004CA6"/>
            <w:highlight w:val="darkGray"/>
          </w:rPr>
          <w:t>Opinion on </w:t>
        </w:r>
        <w:r w:rsidRPr="00293A12">
          <w:rPr>
            <w:rFonts w:ascii="Segoe UI" w:eastAsia="Times New Roman" w:hAnsi="Segoe UI" w:cs="Segoe UI"/>
            <w:i/>
            <w:iCs/>
            <w:color w:val="004CA6"/>
            <w:highlight w:val="darkGray"/>
          </w:rPr>
          <w:t>Improving access to remedy in the area of business and human rights at the EU level</w:t>
        </w:r>
      </w:hyperlink>
      <w:r w:rsidRPr="00293A12">
        <w:rPr>
          <w:rFonts w:ascii="Segoe UI" w:eastAsia="Times New Roman" w:hAnsi="Segoe UI" w:cs="Segoe UI"/>
          <w:color w:val="343D55"/>
          <w:highlight w:val="darkGray"/>
        </w:rPr>
        <w:t>, which the Council of the EU had requested.</w:t>
      </w:r>
    </w:p>
    <w:p w14:paraId="74663E75" w14:textId="77777777" w:rsidR="00346597" w:rsidRPr="00293A12" w:rsidRDefault="00346597" w:rsidP="00346597">
      <w:pPr>
        <w:spacing w:after="165"/>
        <w:rPr>
          <w:rFonts w:ascii="Segoe UI" w:eastAsia="Times New Roman" w:hAnsi="Segoe UI" w:cs="Segoe UI"/>
          <w:color w:val="343D55"/>
          <w:highlight w:val="darkGray"/>
        </w:rPr>
      </w:pPr>
      <w:r w:rsidRPr="00293A12">
        <w:rPr>
          <w:rFonts w:ascii="Segoe UI" w:eastAsia="Times New Roman" w:hAnsi="Segoe UI" w:cs="Segoe UI"/>
          <w:color w:val="343D55"/>
          <w:highlight w:val="darkGray"/>
        </w:rPr>
        <w:lastRenderedPageBreak/>
        <w:t>Examples of issues identified by this paper include:</w:t>
      </w:r>
    </w:p>
    <w:p w14:paraId="11771740" w14:textId="77777777" w:rsidR="00346597" w:rsidRPr="00293A12" w:rsidRDefault="00346597" w:rsidP="00346597">
      <w:pPr>
        <w:numPr>
          <w:ilvl w:val="0"/>
          <w:numId w:val="3"/>
        </w:numPr>
        <w:spacing w:before="100" w:beforeAutospacing="1" w:after="100" w:afterAutospacing="1"/>
        <w:rPr>
          <w:rFonts w:ascii="Segoe UI" w:eastAsia="Times New Roman" w:hAnsi="Segoe UI" w:cs="Segoe UI"/>
          <w:color w:val="343D55"/>
          <w:highlight w:val="darkGray"/>
        </w:rPr>
      </w:pPr>
      <w:r w:rsidRPr="00293A12">
        <w:rPr>
          <w:rFonts w:ascii="Segoe UI" w:eastAsia="Times New Roman" w:hAnsi="Segoe UI" w:cs="Segoe UI"/>
          <w:color w:val="343D55"/>
          <w:highlight w:val="darkGray"/>
        </w:rPr>
        <w:t>victims of incidents involving multinational companies encounter far more obstacles when seeking justice;</w:t>
      </w:r>
    </w:p>
    <w:p w14:paraId="20C3B8C2" w14:textId="77777777" w:rsidR="00346597" w:rsidRPr="00293A12" w:rsidRDefault="00346597" w:rsidP="00346597">
      <w:pPr>
        <w:numPr>
          <w:ilvl w:val="0"/>
          <w:numId w:val="3"/>
        </w:numPr>
        <w:spacing w:before="100" w:beforeAutospacing="1" w:after="100" w:afterAutospacing="1"/>
        <w:rPr>
          <w:rFonts w:ascii="Segoe UI" w:eastAsia="Times New Roman" w:hAnsi="Segoe UI" w:cs="Segoe UI"/>
          <w:color w:val="343D55"/>
          <w:highlight w:val="darkGray"/>
        </w:rPr>
      </w:pPr>
      <w:r w:rsidRPr="00293A12">
        <w:rPr>
          <w:rFonts w:ascii="Segoe UI" w:eastAsia="Times New Roman" w:hAnsi="Segoe UI" w:cs="Segoe UI"/>
          <w:color w:val="343D55"/>
          <w:highlight w:val="darkGray"/>
        </w:rPr>
        <w:t xml:space="preserve">the prospect of a </w:t>
      </w:r>
      <w:proofErr w:type="spellStart"/>
      <w:r w:rsidRPr="00293A12">
        <w:rPr>
          <w:rFonts w:ascii="Segoe UI" w:eastAsia="Times New Roman" w:hAnsi="Segoe UI" w:cs="Segoe UI"/>
          <w:color w:val="343D55"/>
          <w:highlight w:val="darkGray"/>
        </w:rPr>
        <w:t>favourable</w:t>
      </w:r>
      <w:proofErr w:type="spellEnd"/>
      <w:r w:rsidRPr="00293A12">
        <w:rPr>
          <w:rFonts w:ascii="Segoe UI" w:eastAsia="Times New Roman" w:hAnsi="Segoe UI" w:cs="Segoe UI"/>
          <w:color w:val="343D55"/>
          <w:highlight w:val="darkGray"/>
        </w:rPr>
        <w:t xml:space="preserve"> outcome seems lower in such cases – particularly when the case relates to a cross-border situation reaching outside the EU;</w:t>
      </w:r>
    </w:p>
    <w:p w14:paraId="0F93C166" w14:textId="77777777" w:rsidR="00346597" w:rsidRPr="00293A12" w:rsidRDefault="00346597" w:rsidP="00346597">
      <w:pPr>
        <w:numPr>
          <w:ilvl w:val="0"/>
          <w:numId w:val="3"/>
        </w:numPr>
        <w:spacing w:before="100" w:beforeAutospacing="1" w:after="100" w:afterAutospacing="1"/>
        <w:rPr>
          <w:rFonts w:ascii="Segoe UI" w:eastAsia="Times New Roman" w:hAnsi="Segoe UI" w:cs="Segoe UI"/>
          <w:color w:val="343D55"/>
          <w:highlight w:val="darkGray"/>
        </w:rPr>
      </w:pPr>
      <w:r w:rsidRPr="00293A12">
        <w:rPr>
          <w:rFonts w:ascii="Segoe UI" w:eastAsia="Times New Roman" w:hAnsi="Segoe UI" w:cs="Segoe UI"/>
          <w:color w:val="343D55"/>
          <w:highlight w:val="darkGray"/>
        </w:rPr>
        <w:t>victims rarely pursue a remedy individually – in many cases NGOs assist them, through collective redress or representative action, or various forms of advisory or non-judicial mechanisms.</w:t>
      </w:r>
    </w:p>
    <w:p w14:paraId="326F0E24" w14:textId="77777777" w:rsidR="00346597" w:rsidRPr="00346597" w:rsidRDefault="00346597" w:rsidP="00346597">
      <w:pPr>
        <w:spacing w:after="165"/>
        <w:rPr>
          <w:rFonts w:ascii="Segoe UI" w:eastAsia="Times New Roman" w:hAnsi="Segoe UI" w:cs="Segoe UI"/>
          <w:color w:val="343D55"/>
        </w:rPr>
      </w:pPr>
      <w:r w:rsidRPr="00346597">
        <w:rPr>
          <w:rFonts w:ascii="Segoe UI" w:eastAsia="Times New Roman" w:hAnsi="Segoe UI" w:cs="Segoe UI"/>
          <w:b/>
          <w:bCs/>
          <w:color w:val="343D55"/>
        </w:rPr>
        <w:t>Background information:</w:t>
      </w:r>
    </w:p>
    <w:p w14:paraId="697E5BBC" w14:textId="77777777" w:rsidR="00346597" w:rsidRPr="00346597" w:rsidRDefault="00346597" w:rsidP="00346597">
      <w:pPr>
        <w:rPr>
          <w:rFonts w:ascii="Segoe UI" w:eastAsia="Times New Roman" w:hAnsi="Segoe UI" w:cs="Segoe UI"/>
          <w:color w:val="343D55"/>
        </w:rPr>
      </w:pPr>
      <w:r w:rsidRPr="00346597">
        <w:rPr>
          <w:rFonts w:ascii="Segoe UI" w:eastAsia="Times New Roman" w:hAnsi="Segoe UI" w:cs="Segoe UI"/>
          <w:color w:val="343D55"/>
        </w:rPr>
        <w:t xml:space="preserve">In 2017, the European Commission asked the FRA to collect evidence on access to remedy for victims of business-related human rights abuse. </w:t>
      </w:r>
      <w:bookmarkStart w:id="0" w:name="_GoBack"/>
      <w:bookmarkEnd w:id="0"/>
      <w:r w:rsidRPr="00293A12">
        <w:rPr>
          <w:rFonts w:ascii="Segoe UI" w:eastAsia="Times New Roman" w:hAnsi="Segoe UI" w:cs="Segoe UI"/>
          <w:color w:val="343D55"/>
          <w:highlight w:val="darkGray"/>
        </w:rPr>
        <w:t>This paper presents preliminary findings from the first phase of the research, which will be elaborated further in 2020.</w:t>
      </w:r>
      <w:r w:rsidRPr="00346597">
        <w:rPr>
          <w:rFonts w:ascii="Segoe UI" w:eastAsia="Times New Roman" w:hAnsi="Segoe UI" w:cs="Segoe UI"/>
          <w:color w:val="343D55"/>
        </w:rPr>
        <w:t xml:space="preserve"> </w:t>
      </w:r>
      <w:r w:rsidRPr="00293A12">
        <w:rPr>
          <w:rFonts w:ascii="Segoe UI" w:eastAsia="Times New Roman" w:hAnsi="Segoe UI" w:cs="Segoe UI"/>
          <w:color w:val="343D55"/>
          <w:highlight w:val="lightGray"/>
        </w:rPr>
        <w:t>A final comparative report will provide guidance to the EU on measures to improve access to justice.</w:t>
      </w:r>
      <w:r w:rsidRPr="00346597">
        <w:rPr>
          <w:rFonts w:ascii="Segoe UI" w:eastAsia="Times New Roman" w:hAnsi="Segoe UI" w:cs="Segoe UI"/>
          <w:color w:val="343D55"/>
        </w:rPr>
        <w:t> </w:t>
      </w:r>
    </w:p>
    <w:p w14:paraId="1AE5124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1589"/>
    <w:multiLevelType w:val="multilevel"/>
    <w:tmpl w:val="CF6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F6638"/>
    <w:multiLevelType w:val="multilevel"/>
    <w:tmpl w:val="604E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14BEA"/>
    <w:multiLevelType w:val="multilevel"/>
    <w:tmpl w:val="0ABA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0F"/>
    <w:rsid w:val="00293A12"/>
    <w:rsid w:val="00346597"/>
    <w:rsid w:val="00453EED"/>
    <w:rsid w:val="00665F0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F819C"/>
  <w14:defaultImageDpi w14:val="32767"/>
  <w15:chartTrackingRefBased/>
  <w15:docId w15:val="{8CC224FC-F58C-294A-8546-034BA699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4659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659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6597"/>
    <w:rPr>
      <w:rFonts w:ascii="Times New Roman" w:eastAsia="Times New Roman" w:hAnsi="Times New Roman" w:cs="Times New Roman"/>
      <w:b/>
      <w:bCs/>
      <w:sz w:val="36"/>
      <w:szCs w:val="36"/>
    </w:rPr>
  </w:style>
  <w:style w:type="paragraph" w:customStyle="1" w:styleId="sr-only">
    <w:name w:val="sr-only"/>
    <w:basedOn w:val="Normal"/>
    <w:rsid w:val="0034659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46597"/>
    <w:rPr>
      <w:color w:val="0000FF"/>
      <w:u w:val="single"/>
    </w:rPr>
  </w:style>
  <w:style w:type="paragraph" w:styleId="NormalWeb">
    <w:name w:val="Normal (Web)"/>
    <w:basedOn w:val="Normal"/>
    <w:uiPriority w:val="99"/>
    <w:semiHidden/>
    <w:unhideWhenUsed/>
    <w:rsid w:val="0034659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46597"/>
    <w:rPr>
      <w:b/>
      <w:bCs/>
    </w:rPr>
  </w:style>
  <w:style w:type="paragraph" w:customStyle="1" w:styleId="views-row">
    <w:name w:val="views-row"/>
    <w:basedOn w:val="Normal"/>
    <w:rsid w:val="0034659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46597"/>
  </w:style>
  <w:style w:type="character" w:styleId="Emphasis">
    <w:name w:val="Emphasis"/>
    <w:basedOn w:val="DefaultParagraphFont"/>
    <w:uiPriority w:val="20"/>
    <w:qFormat/>
    <w:rsid w:val="003465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841077">
      <w:bodyDiv w:val="1"/>
      <w:marLeft w:val="0"/>
      <w:marRight w:val="0"/>
      <w:marTop w:val="0"/>
      <w:marBottom w:val="0"/>
      <w:divBdr>
        <w:top w:val="none" w:sz="0" w:space="0" w:color="auto"/>
        <w:left w:val="none" w:sz="0" w:space="0" w:color="auto"/>
        <w:bottom w:val="none" w:sz="0" w:space="0" w:color="auto"/>
        <w:right w:val="none" w:sz="0" w:space="0" w:color="auto"/>
      </w:divBdr>
      <w:divsChild>
        <w:div w:id="283973746">
          <w:marLeft w:val="-225"/>
          <w:marRight w:val="-225"/>
          <w:marTop w:val="0"/>
          <w:marBottom w:val="0"/>
          <w:divBdr>
            <w:top w:val="none" w:sz="0" w:space="0" w:color="auto"/>
            <w:left w:val="none" w:sz="0" w:space="0" w:color="auto"/>
            <w:bottom w:val="none" w:sz="0" w:space="0" w:color="auto"/>
            <w:right w:val="none" w:sz="0" w:space="0" w:color="auto"/>
          </w:divBdr>
          <w:divsChild>
            <w:div w:id="1988778644">
              <w:marLeft w:val="0"/>
              <w:marRight w:val="0"/>
              <w:marTop w:val="0"/>
              <w:marBottom w:val="0"/>
              <w:divBdr>
                <w:top w:val="none" w:sz="0" w:space="0" w:color="auto"/>
                <w:left w:val="none" w:sz="0" w:space="0" w:color="auto"/>
                <w:bottom w:val="none" w:sz="0" w:space="0" w:color="auto"/>
                <w:right w:val="none" w:sz="0" w:space="0" w:color="auto"/>
              </w:divBdr>
            </w:div>
            <w:div w:id="2118794358">
              <w:marLeft w:val="0"/>
              <w:marRight w:val="0"/>
              <w:marTop w:val="0"/>
              <w:marBottom w:val="0"/>
              <w:divBdr>
                <w:top w:val="none" w:sz="0" w:space="0" w:color="auto"/>
                <w:left w:val="none" w:sz="0" w:space="0" w:color="auto"/>
                <w:bottom w:val="none" w:sz="0" w:space="0" w:color="auto"/>
                <w:right w:val="none" w:sz="0" w:space="0" w:color="auto"/>
              </w:divBdr>
            </w:div>
          </w:divsChild>
        </w:div>
        <w:div w:id="1802070845">
          <w:marLeft w:val="0"/>
          <w:marRight w:val="0"/>
          <w:marTop w:val="0"/>
          <w:marBottom w:val="0"/>
          <w:divBdr>
            <w:top w:val="single" w:sz="6" w:space="23" w:color="DDDDDD"/>
            <w:left w:val="none" w:sz="0" w:space="0" w:color="auto"/>
            <w:bottom w:val="none" w:sz="0" w:space="0" w:color="auto"/>
            <w:right w:val="none" w:sz="0" w:space="0" w:color="auto"/>
          </w:divBdr>
        </w:div>
        <w:div w:id="1660881387">
          <w:marLeft w:val="0"/>
          <w:marRight w:val="0"/>
          <w:marTop w:val="0"/>
          <w:marBottom w:val="600"/>
          <w:divBdr>
            <w:top w:val="none" w:sz="0" w:space="0" w:color="auto"/>
            <w:left w:val="none" w:sz="0" w:space="0" w:color="auto"/>
            <w:bottom w:val="none" w:sz="0" w:space="0" w:color="auto"/>
            <w:right w:val="none" w:sz="0" w:space="0" w:color="auto"/>
          </w:divBdr>
          <w:divsChild>
            <w:div w:id="431704385">
              <w:marLeft w:val="0"/>
              <w:marRight w:val="0"/>
              <w:marTop w:val="0"/>
              <w:marBottom w:val="0"/>
              <w:divBdr>
                <w:top w:val="none" w:sz="0" w:space="0" w:color="auto"/>
                <w:left w:val="none" w:sz="0" w:space="0" w:color="auto"/>
                <w:bottom w:val="none" w:sz="0" w:space="0" w:color="auto"/>
                <w:right w:val="none" w:sz="0" w:space="0" w:color="auto"/>
              </w:divBdr>
              <w:divsChild>
                <w:div w:id="12586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9538">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9/business-related-human-rights-abuse" TargetMode="External"/><Relationship Id="rId3" Type="http://schemas.openxmlformats.org/officeDocument/2006/relationships/settings" Target="settings.xml"/><Relationship Id="rId7" Type="http://schemas.openxmlformats.org/officeDocument/2006/relationships/hyperlink" Target="https://fra.europa.eu/node/378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ra.europa.eu/en/taxonomy/term/9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opinion/2017/business-human-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2020-02-20T13:59:00Z</dcterms:created>
  <dcterms:modified xsi:type="dcterms:W3CDTF">2020-03-20T10:59:00Z</dcterms:modified>
</cp:coreProperties>
</file>