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FADC6" w14:textId="77777777" w:rsidR="00C67C29" w:rsidRPr="00C67C29" w:rsidRDefault="00C67C29" w:rsidP="00C67C29">
      <w:pPr>
        <w:spacing w:after="300"/>
        <w:outlineLvl w:val="0"/>
        <w:rPr>
          <w:rFonts w:ascii="Arial" w:eastAsia="Times New Roman" w:hAnsi="Arial" w:cs="Arial"/>
          <w:color w:val="3D6FB4"/>
          <w:kern w:val="36"/>
          <w:sz w:val="68"/>
          <w:szCs w:val="68"/>
          <w:lang w:eastAsia="en-GB"/>
        </w:rPr>
      </w:pPr>
      <w:r w:rsidRPr="00C67C29">
        <w:rPr>
          <w:rFonts w:ascii="Arial" w:eastAsia="Times New Roman" w:hAnsi="Arial" w:cs="Arial"/>
          <w:color w:val="3D6FB4"/>
          <w:kern w:val="36"/>
          <w:sz w:val="68"/>
          <w:szCs w:val="68"/>
          <w:lang w:eastAsia="en-GB"/>
        </w:rPr>
        <w:t>Single Resolution Board Publishes 2020 Work Programme</w:t>
      </w:r>
    </w:p>
    <w:p w14:paraId="67CA49A3" w14:textId="77777777" w:rsidR="00C67C29" w:rsidRPr="00C67C29" w:rsidRDefault="00C67C29" w:rsidP="00C67C29">
      <w:pPr>
        <w:spacing w:after="450"/>
        <w:rPr>
          <w:rFonts w:ascii="Arial" w:eastAsia="Times New Roman" w:hAnsi="Arial" w:cs="Arial"/>
          <w:color w:val="404040"/>
          <w:sz w:val="27"/>
          <w:szCs w:val="27"/>
          <w:lang w:eastAsia="en-GB"/>
        </w:rPr>
      </w:pPr>
      <w:r w:rsidRPr="004037E5">
        <w:rPr>
          <w:rFonts w:ascii="Arial" w:eastAsia="Times New Roman" w:hAnsi="Arial" w:cs="Arial"/>
          <w:b/>
          <w:bCs/>
          <w:color w:val="404040"/>
          <w:sz w:val="27"/>
          <w:szCs w:val="27"/>
          <w:highlight w:val="lightGray"/>
          <w:lang w:eastAsia="en-GB"/>
        </w:rPr>
        <w:t>The Single Resolution Board (SRB) has today published its 2020 Work Programme, setting out its priorities and core tasks for the year ahead. 2020 is the final year of the </w:t>
      </w:r>
      <w:hyperlink r:id="rId5" w:history="1">
        <w:r w:rsidRPr="004037E5">
          <w:rPr>
            <w:rFonts w:ascii="Arial" w:eastAsia="Times New Roman" w:hAnsi="Arial" w:cs="Arial"/>
            <w:b/>
            <w:bCs/>
            <w:color w:val="013E97"/>
            <w:sz w:val="27"/>
            <w:szCs w:val="27"/>
            <w:highlight w:val="lightGray"/>
            <w:u w:val="single"/>
            <w:lang w:eastAsia="en-GB"/>
          </w:rPr>
          <w:t>SRB’s 2018-2020 multiannual work progr</w:t>
        </w:r>
        <w:bookmarkStart w:id="0" w:name="_GoBack"/>
        <w:bookmarkEnd w:id="0"/>
        <w:r w:rsidRPr="004037E5">
          <w:rPr>
            <w:rFonts w:ascii="Arial" w:eastAsia="Times New Roman" w:hAnsi="Arial" w:cs="Arial"/>
            <w:b/>
            <w:bCs/>
            <w:color w:val="013E97"/>
            <w:sz w:val="27"/>
            <w:szCs w:val="27"/>
            <w:highlight w:val="lightGray"/>
            <w:u w:val="single"/>
            <w:lang w:eastAsia="en-GB"/>
          </w:rPr>
          <w:t>a</w:t>
        </w:r>
        <w:r w:rsidRPr="004037E5">
          <w:rPr>
            <w:rFonts w:ascii="Arial" w:eastAsia="Times New Roman" w:hAnsi="Arial" w:cs="Arial"/>
            <w:b/>
            <w:bCs/>
            <w:color w:val="013E97"/>
            <w:sz w:val="27"/>
            <w:szCs w:val="27"/>
            <w:highlight w:val="lightGray"/>
            <w:u w:val="single"/>
            <w:lang w:eastAsia="en-GB"/>
          </w:rPr>
          <w:t>mme</w:t>
        </w:r>
      </w:hyperlink>
      <w:r w:rsidRPr="004037E5">
        <w:rPr>
          <w:rFonts w:ascii="Arial" w:eastAsia="Times New Roman" w:hAnsi="Arial" w:cs="Arial"/>
          <w:b/>
          <w:bCs/>
          <w:color w:val="404040"/>
          <w:sz w:val="27"/>
          <w:szCs w:val="27"/>
          <w:highlight w:val="lightGray"/>
          <w:lang w:eastAsia="en-GB"/>
        </w:rPr>
        <w:t> and will mark the fifth anniversary of the SRB taking on its full powers within the Single Resolution Mechanism.</w:t>
      </w:r>
    </w:p>
    <w:p w14:paraId="5677E1B5" w14:textId="77777777" w:rsidR="00C67C29" w:rsidRPr="00C67C29" w:rsidRDefault="00C67C29" w:rsidP="00C67C29">
      <w:pPr>
        <w:spacing w:after="450"/>
        <w:rPr>
          <w:rFonts w:ascii="Arial" w:eastAsia="Times New Roman" w:hAnsi="Arial" w:cs="Arial"/>
          <w:color w:val="404040"/>
          <w:sz w:val="27"/>
          <w:szCs w:val="27"/>
          <w:lang w:eastAsia="en-GB"/>
        </w:rPr>
      </w:pPr>
      <w:r w:rsidRPr="00C67C29">
        <w:rPr>
          <w:rFonts w:ascii="Arial" w:eastAsia="Times New Roman" w:hAnsi="Arial" w:cs="Arial"/>
          <w:color w:val="404040"/>
          <w:sz w:val="27"/>
          <w:szCs w:val="27"/>
          <w:lang w:eastAsia="en-GB"/>
        </w:rPr>
        <w:t>The </w:t>
      </w:r>
      <w:hyperlink r:id="rId6" w:tgtFrame="_blank" w:history="1">
        <w:r w:rsidRPr="00C67C29">
          <w:rPr>
            <w:rFonts w:ascii="Arial" w:eastAsia="Times New Roman" w:hAnsi="Arial" w:cs="Arial"/>
            <w:color w:val="013E97"/>
            <w:sz w:val="27"/>
            <w:szCs w:val="27"/>
            <w:u w:val="single"/>
            <w:lang w:eastAsia="en-GB"/>
          </w:rPr>
          <w:t>SRB’s 2020 work programme</w:t>
        </w:r>
      </w:hyperlink>
      <w:r w:rsidRPr="00C67C29">
        <w:rPr>
          <w:rFonts w:ascii="Arial" w:eastAsia="Times New Roman" w:hAnsi="Arial" w:cs="Arial"/>
          <w:color w:val="404040"/>
          <w:sz w:val="27"/>
          <w:szCs w:val="27"/>
          <w:lang w:eastAsia="en-GB"/>
        </w:rPr>
        <w:t> is an ambitious roadmap towards strengthening the resolvability of SRB entities and less significant institutions, fostering a robust resolution framework, carrying out effective crisis management, building up further the single resolution fund (from 33 billion in 2019 to around 41 billion next year) and establishing a lean and efficient organisation.</w:t>
      </w:r>
    </w:p>
    <w:p w14:paraId="501AC162" w14:textId="77777777" w:rsidR="00C67C29" w:rsidRPr="00C67C29" w:rsidRDefault="00C67C29" w:rsidP="00C67C29">
      <w:pPr>
        <w:spacing w:after="450"/>
        <w:rPr>
          <w:rFonts w:ascii="Arial" w:eastAsia="Times New Roman" w:hAnsi="Arial" w:cs="Arial"/>
          <w:color w:val="404040"/>
          <w:sz w:val="27"/>
          <w:szCs w:val="27"/>
          <w:lang w:eastAsia="en-GB"/>
        </w:rPr>
      </w:pPr>
      <w:r w:rsidRPr="00C67C29">
        <w:rPr>
          <w:rFonts w:ascii="Arial" w:eastAsia="Times New Roman" w:hAnsi="Arial" w:cs="Arial"/>
          <w:color w:val="404040"/>
          <w:sz w:val="27"/>
          <w:szCs w:val="27"/>
          <w:lang w:eastAsia="en-GB"/>
        </w:rPr>
        <w:t>A focus for the year ahead will be on ensuring that the SRB’s internal policies, resolution plans and minimum requirements for own funds and eligible liabilities (MREL) decisions reflect the requirements of the </w:t>
      </w:r>
      <w:hyperlink r:id="rId7" w:history="1">
        <w:r w:rsidRPr="00C67C29">
          <w:rPr>
            <w:rFonts w:ascii="Arial" w:eastAsia="Times New Roman" w:hAnsi="Arial" w:cs="Arial"/>
            <w:color w:val="013E97"/>
            <w:sz w:val="27"/>
            <w:szCs w:val="27"/>
            <w:u w:val="single"/>
            <w:lang w:eastAsia="en-GB"/>
          </w:rPr>
          <w:t>new banking package</w:t>
        </w:r>
      </w:hyperlink>
      <w:r w:rsidRPr="00C67C29">
        <w:rPr>
          <w:rFonts w:ascii="Arial" w:eastAsia="Times New Roman" w:hAnsi="Arial" w:cs="Arial"/>
          <w:color w:val="404040"/>
          <w:sz w:val="27"/>
          <w:szCs w:val="27"/>
          <w:lang w:eastAsia="en-GB"/>
        </w:rPr>
        <w:t>.</w:t>
      </w:r>
    </w:p>
    <w:p w14:paraId="2D79A445" w14:textId="77777777" w:rsidR="00C67C29" w:rsidRPr="00C67C29" w:rsidRDefault="00C67C29" w:rsidP="00C67C29">
      <w:pPr>
        <w:spacing w:after="450"/>
        <w:rPr>
          <w:rFonts w:ascii="Arial" w:eastAsia="Times New Roman" w:hAnsi="Arial" w:cs="Arial"/>
          <w:color w:val="404040"/>
          <w:sz w:val="27"/>
          <w:szCs w:val="27"/>
          <w:lang w:eastAsia="en-GB"/>
        </w:rPr>
      </w:pPr>
      <w:r w:rsidRPr="00C67C29">
        <w:rPr>
          <w:rFonts w:ascii="Arial" w:eastAsia="Times New Roman" w:hAnsi="Arial" w:cs="Arial"/>
          <w:color w:val="404040"/>
          <w:sz w:val="27"/>
          <w:szCs w:val="27"/>
          <w:lang w:eastAsia="en-GB"/>
        </w:rPr>
        <w:t>The SRB also expects banks to proactively work to make themselves resolvable, taking on board these new and existing requirements. The SRB’s ‘Expectations for Banks’ document, which was </w:t>
      </w:r>
      <w:hyperlink r:id="rId8" w:history="1">
        <w:r w:rsidRPr="00C67C29">
          <w:rPr>
            <w:rFonts w:ascii="Arial" w:eastAsia="Times New Roman" w:hAnsi="Arial" w:cs="Arial"/>
            <w:color w:val="013E97"/>
            <w:sz w:val="27"/>
            <w:szCs w:val="27"/>
            <w:u w:val="single"/>
            <w:lang w:eastAsia="en-GB"/>
          </w:rPr>
          <w:t>published for public consultation</w:t>
        </w:r>
      </w:hyperlink>
      <w:r w:rsidRPr="00C67C29">
        <w:rPr>
          <w:rFonts w:ascii="Arial" w:eastAsia="Times New Roman" w:hAnsi="Arial" w:cs="Arial"/>
          <w:color w:val="404040"/>
          <w:sz w:val="27"/>
          <w:szCs w:val="27"/>
          <w:lang w:eastAsia="en-GB"/>
        </w:rPr>
        <w:t> on 23 October 2019, sets out the general capabilities the SRB expects banks to demonstrate in order to show that they are resolvable.</w:t>
      </w:r>
    </w:p>
    <w:p w14:paraId="2E9FB279" w14:textId="77777777" w:rsidR="00C67C29" w:rsidRPr="00C67C29" w:rsidRDefault="00C67C29" w:rsidP="00C67C29">
      <w:pPr>
        <w:spacing w:after="450"/>
        <w:rPr>
          <w:rFonts w:ascii="Arial" w:eastAsia="Times New Roman" w:hAnsi="Arial" w:cs="Arial"/>
          <w:color w:val="404040"/>
          <w:sz w:val="27"/>
          <w:szCs w:val="27"/>
          <w:lang w:eastAsia="en-GB"/>
        </w:rPr>
      </w:pPr>
      <w:r w:rsidRPr="00C67C29">
        <w:rPr>
          <w:rFonts w:ascii="Arial" w:eastAsia="Times New Roman" w:hAnsi="Arial" w:cs="Arial"/>
          <w:color w:val="404040"/>
          <w:sz w:val="27"/>
          <w:szCs w:val="27"/>
          <w:lang w:eastAsia="en-GB"/>
        </w:rPr>
        <w:t>Other important priorities will be operationalising the political agreements on the backstop reached in 2019, as well as increasing preparedness for potential new Banking Union members with regard to SRF contributions. The year will also see the SRB operate at full staff capacity for the first time, with close to 400 colleagues on hand to deliver the SRB’s ambitious programme.</w:t>
      </w:r>
    </w:p>
    <w:p w14:paraId="3F8EA9C5" w14:textId="77777777" w:rsidR="00C67C29" w:rsidRPr="00C67C29" w:rsidRDefault="00C67C29" w:rsidP="00C67C29">
      <w:pPr>
        <w:spacing w:after="450"/>
        <w:rPr>
          <w:rFonts w:ascii="Arial" w:eastAsia="Times New Roman" w:hAnsi="Arial" w:cs="Arial"/>
          <w:color w:val="404040"/>
          <w:sz w:val="27"/>
          <w:szCs w:val="27"/>
          <w:lang w:eastAsia="en-GB"/>
        </w:rPr>
      </w:pPr>
      <w:r w:rsidRPr="00C67C29">
        <w:rPr>
          <w:rFonts w:ascii="Arial" w:eastAsia="Times New Roman" w:hAnsi="Arial" w:cs="Arial"/>
          <w:color w:val="404040"/>
          <w:sz w:val="27"/>
          <w:szCs w:val="27"/>
          <w:lang w:eastAsia="en-GB"/>
        </w:rPr>
        <w:t>“</w:t>
      </w:r>
      <w:r w:rsidRPr="00C67C29">
        <w:rPr>
          <w:rFonts w:ascii="Arial" w:eastAsia="Times New Roman" w:hAnsi="Arial" w:cs="Arial"/>
          <w:i/>
          <w:iCs/>
          <w:color w:val="404040"/>
          <w:sz w:val="27"/>
          <w:szCs w:val="27"/>
          <w:lang w:eastAsia="en-GB"/>
        </w:rPr>
        <w:t xml:space="preserve">As we reach the end of this current multiannual programme, the next one is already being prepared. The 2021-2024 programme has particular salience considering the link with the end of the transition period of the </w:t>
      </w:r>
      <w:r w:rsidRPr="00C67C29">
        <w:rPr>
          <w:rFonts w:ascii="Arial" w:eastAsia="Times New Roman" w:hAnsi="Arial" w:cs="Arial"/>
          <w:i/>
          <w:iCs/>
          <w:color w:val="404040"/>
          <w:sz w:val="27"/>
          <w:szCs w:val="27"/>
          <w:lang w:eastAsia="en-GB"/>
        </w:rPr>
        <w:lastRenderedPageBreak/>
        <w:t>SRF. The SRB will keep up the momentum towards resolvability and looks forward to continuing its close cooperation with the national resolution authorities, the European Central Bank and our wider stakeholder community</w:t>
      </w:r>
      <w:r w:rsidRPr="00C67C29">
        <w:rPr>
          <w:rFonts w:ascii="Arial" w:eastAsia="Times New Roman" w:hAnsi="Arial" w:cs="Arial"/>
          <w:color w:val="404040"/>
          <w:sz w:val="27"/>
          <w:szCs w:val="27"/>
          <w:lang w:eastAsia="en-GB"/>
        </w:rPr>
        <w:t>,” said Dr Elke König, Chair of the SRB.</w:t>
      </w:r>
    </w:p>
    <w:p w14:paraId="5F13ADED" w14:textId="77777777" w:rsidR="00C67C29" w:rsidRPr="00C67C29" w:rsidRDefault="004037E5" w:rsidP="00C67C29">
      <w:pPr>
        <w:numPr>
          <w:ilvl w:val="0"/>
          <w:numId w:val="1"/>
        </w:numPr>
        <w:spacing w:before="75" w:after="75"/>
        <w:rPr>
          <w:rFonts w:ascii="Arial" w:eastAsia="Times New Roman" w:hAnsi="Arial" w:cs="Arial"/>
          <w:color w:val="404040"/>
          <w:sz w:val="27"/>
          <w:szCs w:val="27"/>
          <w:lang w:eastAsia="en-GB"/>
        </w:rPr>
      </w:pPr>
      <w:hyperlink r:id="rId9" w:tgtFrame="_blank" w:history="1">
        <w:r w:rsidR="00C67C29" w:rsidRPr="00C67C29">
          <w:rPr>
            <w:rFonts w:ascii="Arial" w:eastAsia="Times New Roman" w:hAnsi="Arial" w:cs="Arial"/>
            <w:b/>
            <w:bCs/>
            <w:color w:val="013E97"/>
            <w:sz w:val="27"/>
            <w:szCs w:val="27"/>
            <w:lang w:eastAsia="en-GB"/>
          </w:rPr>
          <w:t>Read SRB's 2020 Work Programme </w:t>
        </w:r>
      </w:hyperlink>
    </w:p>
    <w:p w14:paraId="70011CE7" w14:textId="77777777" w:rsidR="00074FE2" w:rsidRDefault="00074FE2"/>
    <w:sectPr w:rsidR="00074FE2"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F4B6E"/>
    <w:multiLevelType w:val="multilevel"/>
    <w:tmpl w:val="0C4E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FE2"/>
    <w:rsid w:val="00074FE2"/>
    <w:rsid w:val="002D60FD"/>
    <w:rsid w:val="004037E5"/>
    <w:rsid w:val="00A67176"/>
    <w:rsid w:val="00C67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0C8837"/>
  <w15:chartTrackingRefBased/>
  <w15:docId w15:val="{EAF4CCF5-CA6C-854D-B66B-D07F30DE9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67C2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C29"/>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C67C29"/>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67C29"/>
    <w:rPr>
      <w:b/>
      <w:bCs/>
    </w:rPr>
  </w:style>
  <w:style w:type="character" w:customStyle="1" w:styleId="apple-converted-space">
    <w:name w:val="apple-converted-space"/>
    <w:basedOn w:val="DefaultParagraphFont"/>
    <w:rsid w:val="00C67C29"/>
  </w:style>
  <w:style w:type="character" w:styleId="Hyperlink">
    <w:name w:val="Hyperlink"/>
    <w:basedOn w:val="DefaultParagraphFont"/>
    <w:uiPriority w:val="99"/>
    <w:semiHidden/>
    <w:unhideWhenUsed/>
    <w:rsid w:val="00C67C29"/>
    <w:rPr>
      <w:color w:val="0000FF"/>
      <w:u w:val="single"/>
    </w:rPr>
  </w:style>
  <w:style w:type="character" w:styleId="Emphasis">
    <w:name w:val="Emphasis"/>
    <w:basedOn w:val="DefaultParagraphFont"/>
    <w:uiPriority w:val="20"/>
    <w:qFormat/>
    <w:rsid w:val="00C67C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352191">
      <w:bodyDiv w:val="1"/>
      <w:marLeft w:val="0"/>
      <w:marRight w:val="0"/>
      <w:marTop w:val="0"/>
      <w:marBottom w:val="0"/>
      <w:divBdr>
        <w:top w:val="none" w:sz="0" w:space="0" w:color="auto"/>
        <w:left w:val="none" w:sz="0" w:space="0" w:color="auto"/>
        <w:bottom w:val="none" w:sz="0" w:space="0" w:color="auto"/>
        <w:right w:val="none" w:sz="0" w:space="0" w:color="auto"/>
      </w:divBdr>
      <w:divsChild>
        <w:div w:id="266233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rb.europa.eu/en/node/866" TargetMode="External"/><Relationship Id="rId3" Type="http://schemas.openxmlformats.org/officeDocument/2006/relationships/settings" Target="settings.xml"/><Relationship Id="rId7" Type="http://schemas.openxmlformats.org/officeDocument/2006/relationships/hyperlink" Target="https://europa.eu/rapid/press-release_MEMO-19-2129_e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rb.europa.eu/sites/srbsite/files/srb.2019.4871_wp_2020_final_version_web.pdf" TargetMode="External"/><Relationship Id="rId11" Type="http://schemas.openxmlformats.org/officeDocument/2006/relationships/theme" Target="theme/theme1.xml"/><Relationship Id="rId5" Type="http://schemas.openxmlformats.org/officeDocument/2006/relationships/hyperlink" Target="https://srb.europa.eu/en/node/44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rb.europa.eu/sites/srbsite/files/srb.2019.4871_wp_2020_final_version_we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2020-02-26T08:55:00Z</dcterms:created>
  <dcterms:modified xsi:type="dcterms:W3CDTF">2020-05-12T09:41:00Z</dcterms:modified>
</cp:coreProperties>
</file>