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260D4" w14:textId="77777777" w:rsidR="00FF3068" w:rsidRPr="00FF3068" w:rsidRDefault="00FF3068" w:rsidP="00FF3068">
      <w:pPr>
        <w:spacing w:after="300"/>
        <w:outlineLvl w:val="0"/>
        <w:rPr>
          <w:rFonts w:ascii="Arial" w:eastAsia="Times New Roman" w:hAnsi="Arial" w:cs="Arial"/>
          <w:color w:val="3D6FB4"/>
          <w:kern w:val="36"/>
          <w:sz w:val="68"/>
          <w:szCs w:val="68"/>
          <w:lang w:eastAsia="en-GB"/>
        </w:rPr>
      </w:pPr>
      <w:r w:rsidRPr="00FF3068">
        <w:rPr>
          <w:rFonts w:ascii="Arial" w:eastAsia="Times New Roman" w:hAnsi="Arial" w:cs="Arial"/>
          <w:color w:val="3D6FB4"/>
          <w:kern w:val="36"/>
          <w:sz w:val="68"/>
          <w:szCs w:val="68"/>
          <w:lang w:eastAsia="en-GB"/>
        </w:rPr>
        <w:t>SRB launches public consultation on its 'Expectations for Banks'</w:t>
      </w:r>
    </w:p>
    <w:p w14:paraId="0F8999D5" w14:textId="77777777" w:rsidR="00FF3068" w:rsidRPr="00FF3068" w:rsidRDefault="00FF3068" w:rsidP="00FF3068">
      <w:pPr>
        <w:spacing w:after="450"/>
        <w:rPr>
          <w:rFonts w:ascii="Arial" w:eastAsia="Times New Roman" w:hAnsi="Arial" w:cs="Arial"/>
          <w:color w:val="404040"/>
          <w:sz w:val="27"/>
          <w:szCs w:val="27"/>
          <w:lang w:eastAsia="en-GB"/>
        </w:rPr>
      </w:pPr>
      <w:r w:rsidRPr="00FF3068">
        <w:rPr>
          <w:rFonts w:ascii="Arial" w:eastAsia="Times New Roman" w:hAnsi="Arial" w:cs="Arial"/>
          <w:color w:val="404040"/>
          <w:sz w:val="27"/>
          <w:szCs w:val="27"/>
          <w:lang w:eastAsia="en-GB"/>
        </w:rPr>
        <w:t>The Single Resolution Board (SRB) today launches its first </w:t>
      </w:r>
      <w:hyperlink r:id="rId4" w:tgtFrame="_blank" w:history="1">
        <w:r w:rsidRPr="00FF3068">
          <w:rPr>
            <w:rFonts w:ascii="Arial" w:eastAsia="Times New Roman" w:hAnsi="Arial" w:cs="Arial"/>
            <w:color w:val="013E97"/>
            <w:sz w:val="27"/>
            <w:szCs w:val="27"/>
            <w:u w:val="single"/>
            <w:lang w:eastAsia="en-GB"/>
          </w:rPr>
          <w:t>public consultation</w:t>
        </w:r>
        <w:r w:rsidRPr="00FF3068">
          <w:rPr>
            <w:rFonts w:ascii="Arial" w:eastAsia="Times New Roman" w:hAnsi="Arial" w:cs="Arial"/>
            <w:color w:val="013E97"/>
            <w:sz w:val="27"/>
            <w:szCs w:val="27"/>
            <w:lang w:eastAsia="en-GB"/>
          </w:rPr>
          <w:t> </w:t>
        </w:r>
      </w:hyperlink>
      <w:r w:rsidRPr="00FF3068">
        <w:rPr>
          <w:rFonts w:ascii="Arial" w:eastAsia="Times New Roman" w:hAnsi="Arial" w:cs="Arial"/>
          <w:color w:val="404040"/>
          <w:sz w:val="27"/>
          <w:szCs w:val="27"/>
          <w:lang w:eastAsia="en-GB"/>
        </w:rPr>
        <w:t>on its </w:t>
      </w:r>
      <w:hyperlink r:id="rId5" w:tgtFrame="_blank" w:history="1">
        <w:r w:rsidRPr="00FF3068">
          <w:rPr>
            <w:rFonts w:ascii="Arial" w:eastAsia="Times New Roman" w:hAnsi="Arial" w:cs="Arial"/>
            <w:color w:val="013E97"/>
            <w:sz w:val="27"/>
            <w:szCs w:val="27"/>
            <w:u w:val="single"/>
            <w:lang w:eastAsia="en-GB"/>
          </w:rPr>
          <w:t>‘Expectations for Banks’ document</w:t>
        </w:r>
      </w:hyperlink>
      <w:r w:rsidRPr="00FF3068">
        <w:rPr>
          <w:rFonts w:ascii="Arial" w:eastAsia="Times New Roman" w:hAnsi="Arial" w:cs="Arial"/>
          <w:color w:val="404040"/>
          <w:sz w:val="27"/>
          <w:szCs w:val="27"/>
          <w:lang w:eastAsia="en-GB"/>
        </w:rPr>
        <w:t>, which outlines best practice on key aspects of resolvability. The </w:t>
      </w:r>
      <w:hyperlink r:id="rId6" w:tgtFrame="_blank" w:history="1">
        <w:r w:rsidRPr="00FF3068">
          <w:rPr>
            <w:rFonts w:ascii="Arial" w:eastAsia="Times New Roman" w:hAnsi="Arial" w:cs="Arial"/>
            <w:color w:val="013E97"/>
            <w:sz w:val="27"/>
            <w:szCs w:val="27"/>
            <w:u w:val="single"/>
            <w:lang w:eastAsia="en-GB"/>
          </w:rPr>
          <w:t>consultation</w:t>
        </w:r>
      </w:hyperlink>
      <w:r w:rsidRPr="00FF3068">
        <w:rPr>
          <w:rFonts w:ascii="Arial" w:eastAsia="Times New Roman" w:hAnsi="Arial" w:cs="Arial"/>
          <w:color w:val="404040"/>
          <w:sz w:val="27"/>
          <w:szCs w:val="27"/>
          <w:lang w:eastAsia="en-GB"/>
        </w:rPr>
        <w:t> is part of the SRB’s commitment to listening to the views of banks and other stakeholders and being transparent about its approaches and decisions.</w:t>
      </w:r>
    </w:p>
    <w:p w14:paraId="2CDF3AAD" w14:textId="77777777" w:rsidR="00FF3068" w:rsidRPr="00FF3068" w:rsidRDefault="00FF3068" w:rsidP="00FF3068">
      <w:pPr>
        <w:spacing w:after="450"/>
        <w:rPr>
          <w:rFonts w:ascii="Arial" w:eastAsia="Times New Roman" w:hAnsi="Arial" w:cs="Arial"/>
          <w:color w:val="404040"/>
          <w:sz w:val="27"/>
          <w:szCs w:val="27"/>
          <w:lang w:eastAsia="en-GB"/>
        </w:rPr>
      </w:pPr>
      <w:r w:rsidRPr="00FF3068">
        <w:rPr>
          <w:rFonts w:ascii="Arial" w:eastAsia="Times New Roman" w:hAnsi="Arial" w:cs="Arial"/>
          <w:color w:val="404040"/>
          <w:sz w:val="27"/>
          <w:szCs w:val="27"/>
          <w:lang w:eastAsia="en-GB"/>
        </w:rPr>
        <w:t>The </w:t>
      </w:r>
      <w:hyperlink r:id="rId7" w:tgtFrame="_blank" w:history="1">
        <w:r w:rsidRPr="00FF3068">
          <w:rPr>
            <w:rFonts w:ascii="Arial" w:eastAsia="Times New Roman" w:hAnsi="Arial" w:cs="Arial"/>
            <w:color w:val="013E97"/>
            <w:sz w:val="27"/>
            <w:szCs w:val="27"/>
            <w:u w:val="single"/>
            <w:lang w:eastAsia="en-GB"/>
          </w:rPr>
          <w:t>‘Expectations for Banks’ document</w:t>
        </w:r>
        <w:r w:rsidRPr="00FF3068">
          <w:rPr>
            <w:rFonts w:ascii="Arial" w:eastAsia="Times New Roman" w:hAnsi="Arial" w:cs="Arial"/>
            <w:color w:val="013E97"/>
            <w:sz w:val="27"/>
            <w:szCs w:val="27"/>
            <w:lang w:eastAsia="en-GB"/>
          </w:rPr>
          <w:t> </w:t>
        </w:r>
      </w:hyperlink>
      <w:r w:rsidRPr="00FF3068">
        <w:rPr>
          <w:rFonts w:ascii="Arial" w:eastAsia="Times New Roman" w:hAnsi="Arial" w:cs="Arial"/>
          <w:color w:val="404040"/>
          <w:sz w:val="27"/>
          <w:szCs w:val="27"/>
          <w:lang w:eastAsia="en-GB"/>
        </w:rPr>
        <w:t>sets out the capabilities the SRB expects banks to demonstrate in order to show that they are resolvable. It reflects best practice in and sets benchmarks for assessing resolvability. The document will provide clarity to the market on the actions the SRB expects banks to take.</w:t>
      </w:r>
    </w:p>
    <w:p w14:paraId="0ADABE77" w14:textId="77777777" w:rsidR="00FF3068" w:rsidRPr="00FF3068" w:rsidRDefault="00FF3068" w:rsidP="00FF3068">
      <w:pPr>
        <w:spacing w:after="450"/>
        <w:rPr>
          <w:rFonts w:ascii="Arial" w:eastAsia="Times New Roman" w:hAnsi="Arial" w:cs="Arial"/>
          <w:color w:val="404040"/>
          <w:sz w:val="27"/>
          <w:szCs w:val="27"/>
          <w:lang w:eastAsia="en-GB"/>
        </w:rPr>
      </w:pPr>
      <w:r w:rsidRPr="00FF3068">
        <w:rPr>
          <w:rFonts w:ascii="Arial" w:eastAsia="Times New Roman" w:hAnsi="Arial" w:cs="Arial"/>
          <w:color w:val="404040"/>
          <w:sz w:val="27"/>
          <w:szCs w:val="27"/>
          <w:lang w:eastAsia="en-GB"/>
        </w:rPr>
        <w:t>While the expectations are general, their application will be tailored to each individual bank, based on a dialogue with the SRB’s internal resolution teams. The result will feed into the SRB’s annual resolution work programmes for banks.</w:t>
      </w:r>
    </w:p>
    <w:p w14:paraId="04C996E1" w14:textId="77777777" w:rsidR="00FF3068" w:rsidRPr="00FF3068" w:rsidRDefault="00FF3068" w:rsidP="00FF3068">
      <w:pPr>
        <w:spacing w:after="450"/>
        <w:rPr>
          <w:rFonts w:ascii="Arial" w:eastAsia="Times New Roman" w:hAnsi="Arial" w:cs="Arial"/>
          <w:color w:val="404040"/>
          <w:sz w:val="27"/>
          <w:szCs w:val="27"/>
          <w:lang w:eastAsia="en-GB"/>
        </w:rPr>
      </w:pPr>
      <w:r w:rsidRPr="00FF3068">
        <w:rPr>
          <w:rFonts w:ascii="Arial" w:eastAsia="Times New Roman" w:hAnsi="Arial" w:cs="Arial"/>
          <w:color w:val="404040"/>
          <w:sz w:val="27"/>
          <w:szCs w:val="27"/>
          <w:lang w:eastAsia="en-GB"/>
        </w:rPr>
        <w:t>In line with our intention to consult the industry on key documents, the SRB invites feedback between 23 October and 4 December 2019 – 12:00 (Brussels time) through this </w:t>
      </w:r>
      <w:hyperlink r:id="rId8" w:tgtFrame="_blank" w:history="1">
        <w:r w:rsidRPr="00FF3068">
          <w:rPr>
            <w:rFonts w:ascii="Arial" w:eastAsia="Times New Roman" w:hAnsi="Arial" w:cs="Arial"/>
            <w:color w:val="013E97"/>
            <w:sz w:val="27"/>
            <w:szCs w:val="27"/>
            <w:u w:val="single"/>
            <w:lang w:eastAsia="en-GB"/>
          </w:rPr>
          <w:t>link</w:t>
        </w:r>
      </w:hyperlink>
      <w:r w:rsidRPr="00FF3068">
        <w:rPr>
          <w:rFonts w:ascii="Arial" w:eastAsia="Times New Roman" w:hAnsi="Arial" w:cs="Arial"/>
          <w:color w:val="404040"/>
          <w:sz w:val="27"/>
          <w:szCs w:val="27"/>
          <w:lang w:eastAsia="en-GB"/>
        </w:rPr>
        <w:t>.</w:t>
      </w:r>
    </w:p>
    <w:p w14:paraId="44ADD954" w14:textId="77777777" w:rsidR="00FF3068" w:rsidRPr="00FF3068" w:rsidRDefault="00FF3068" w:rsidP="00FF3068">
      <w:pPr>
        <w:spacing w:after="450"/>
        <w:rPr>
          <w:rFonts w:ascii="Arial" w:eastAsia="Times New Roman" w:hAnsi="Arial" w:cs="Arial"/>
          <w:color w:val="404040"/>
          <w:sz w:val="27"/>
          <w:szCs w:val="27"/>
          <w:lang w:eastAsia="en-GB"/>
        </w:rPr>
      </w:pPr>
      <w:r w:rsidRPr="00FF3068">
        <w:rPr>
          <w:rFonts w:ascii="Arial" w:eastAsia="Times New Roman" w:hAnsi="Arial" w:cs="Arial"/>
          <w:b/>
          <w:bCs/>
          <w:color w:val="404040"/>
          <w:sz w:val="27"/>
          <w:szCs w:val="27"/>
          <w:lang w:eastAsia="en-GB"/>
        </w:rPr>
        <w:t>Personal data and privacy statement</w:t>
      </w:r>
    </w:p>
    <w:p w14:paraId="5C775011" w14:textId="77777777" w:rsidR="00FF3068" w:rsidRPr="00FF3068" w:rsidRDefault="00FF3068" w:rsidP="00FF3068">
      <w:pPr>
        <w:spacing w:after="450"/>
        <w:rPr>
          <w:rFonts w:ascii="Arial" w:eastAsia="Times New Roman" w:hAnsi="Arial" w:cs="Arial"/>
          <w:color w:val="404040"/>
          <w:sz w:val="27"/>
          <w:szCs w:val="27"/>
          <w:lang w:eastAsia="en-GB"/>
        </w:rPr>
      </w:pPr>
      <w:r w:rsidRPr="00FF3068">
        <w:rPr>
          <w:rFonts w:ascii="Arial" w:eastAsia="Times New Roman" w:hAnsi="Arial" w:cs="Arial"/>
          <w:color w:val="404040"/>
          <w:sz w:val="27"/>
          <w:szCs w:val="27"/>
          <w:lang w:eastAsia="en-GB"/>
        </w:rPr>
        <w:t>The SRB is committed to user privacy. When carrying out public consultations we adhere to the policy on 'protection of individuals with regard to the processing of personal data by the Union institutions, bodies, offices and agencies', based on Regulation (EU) 2018/1725 on processing of personal data by the EU institutions. </w:t>
      </w:r>
      <w:hyperlink r:id="rId9" w:history="1">
        <w:r w:rsidRPr="00FF3068">
          <w:rPr>
            <w:rFonts w:ascii="Arial" w:eastAsia="Times New Roman" w:hAnsi="Arial" w:cs="Arial"/>
            <w:color w:val="013E97"/>
            <w:sz w:val="27"/>
            <w:szCs w:val="27"/>
            <w:u w:val="single"/>
            <w:lang w:eastAsia="en-GB"/>
          </w:rPr>
          <w:t>Full statement</w:t>
        </w:r>
      </w:hyperlink>
      <w:r w:rsidRPr="00FF3068">
        <w:rPr>
          <w:rFonts w:ascii="Arial" w:eastAsia="Times New Roman" w:hAnsi="Arial" w:cs="Arial"/>
          <w:color w:val="404040"/>
          <w:sz w:val="27"/>
          <w:szCs w:val="27"/>
          <w:lang w:eastAsia="en-GB"/>
        </w:rPr>
        <w:t>.</w:t>
      </w:r>
    </w:p>
    <w:p w14:paraId="18527B60" w14:textId="77777777" w:rsidR="00C766F7" w:rsidRDefault="00C766F7">
      <w:bookmarkStart w:id="0" w:name="_GoBack"/>
      <w:bookmarkEnd w:id="0"/>
    </w:p>
    <w:sectPr w:rsidR="00C766F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F7"/>
    <w:rsid w:val="002D60FD"/>
    <w:rsid w:val="00C766F7"/>
    <w:rsid w:val="00F877CB"/>
    <w:rsid w:val="00FF306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EAF5DDF"/>
  <w15:chartTrackingRefBased/>
  <w15:docId w15:val="{6874F04E-2C2F-9640-98C9-8BE28961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F306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06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F3068"/>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F3068"/>
  </w:style>
  <w:style w:type="character" w:styleId="Hyperlink">
    <w:name w:val="Hyperlink"/>
    <w:basedOn w:val="DefaultParagraphFont"/>
    <w:uiPriority w:val="99"/>
    <w:semiHidden/>
    <w:unhideWhenUsed/>
    <w:rsid w:val="00FF3068"/>
    <w:rPr>
      <w:color w:val="0000FF"/>
      <w:u w:val="single"/>
    </w:rPr>
  </w:style>
  <w:style w:type="character" w:styleId="Strong">
    <w:name w:val="Strong"/>
    <w:basedOn w:val="DefaultParagraphFont"/>
    <w:uiPriority w:val="22"/>
    <w:qFormat/>
    <w:rsid w:val="00FF3068"/>
    <w:rPr>
      <w:b/>
      <w:bCs/>
    </w:rPr>
  </w:style>
  <w:style w:type="character" w:styleId="Emphasis">
    <w:name w:val="Emphasis"/>
    <w:basedOn w:val="DefaultParagraphFont"/>
    <w:uiPriority w:val="20"/>
    <w:qFormat/>
    <w:rsid w:val="00FF30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202699">
      <w:bodyDiv w:val="1"/>
      <w:marLeft w:val="0"/>
      <w:marRight w:val="0"/>
      <w:marTop w:val="0"/>
      <w:marBottom w:val="0"/>
      <w:divBdr>
        <w:top w:val="none" w:sz="0" w:space="0" w:color="auto"/>
        <w:left w:val="none" w:sz="0" w:space="0" w:color="auto"/>
        <w:bottom w:val="none" w:sz="0" w:space="0" w:color="auto"/>
        <w:right w:val="none" w:sz="0" w:space="0" w:color="auto"/>
      </w:divBdr>
      <w:divsChild>
        <w:div w:id="192957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survey/runner/eeb46da2-da92-3aee-1731-0c07d6e63a82" TargetMode="External"/><Relationship Id="rId3" Type="http://schemas.openxmlformats.org/officeDocument/2006/relationships/webSettings" Target="webSettings.xml"/><Relationship Id="rId7" Type="http://schemas.openxmlformats.org/officeDocument/2006/relationships/hyperlink" Target="https://srb.europa.eu/sites/srbsite/files/srb_expectations_for_banks_201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europa.eu/eusurvey/runner/eeb46da2-da92-3aee-1731-0c07d6e63a82" TargetMode="External"/><Relationship Id="rId11" Type="http://schemas.openxmlformats.org/officeDocument/2006/relationships/theme" Target="theme/theme1.xml"/><Relationship Id="rId5" Type="http://schemas.openxmlformats.org/officeDocument/2006/relationships/hyperlink" Target="https://srb.europa.eu/sites/srbsite/files/srb_expectations_for_banks_2019.pdf" TargetMode="External"/><Relationship Id="rId10" Type="http://schemas.openxmlformats.org/officeDocument/2006/relationships/fontTable" Target="fontTable.xml"/><Relationship Id="rId4" Type="http://schemas.openxmlformats.org/officeDocument/2006/relationships/hyperlink" Target="https://ec.europa.eu/eusurvey/runner/eeb46da2-da92-3aee-1731-0c07d6e63a82" TargetMode="External"/><Relationship Id="rId9" Type="http://schemas.openxmlformats.org/officeDocument/2006/relationships/hyperlink" Target="https://srb.europa.eu/en/content/personal-data-and-privacy-statem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2020-02-26T08:55:00Z</dcterms:created>
  <dcterms:modified xsi:type="dcterms:W3CDTF">2020-03-03T18:11:00Z</dcterms:modified>
</cp:coreProperties>
</file>