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DD4FF"/>
          <w:sz w:val="48"/>
          <w:szCs w:val="48"/>
        </w:rPr>
        <w:t xml:space="preserve">OPSIS</w:t>
      </w:r>
    </w:p>
    <w:p>
      <w:pPr>
        <w:spacing w:before="0" w:after="80"/>
      </w:pPr>
      <w:r>
        <w:rPr>
          <w:rFonts w:ascii="Arial" w:cs="Arial" w:eastAsia="Arial" w:hAnsi="Arial"/>
          <w:b/>
          <w:bCs/>
          <w:color w:val="0F172A"/>
          <w:sz w:val="36"/>
          <w:szCs w:val="36"/>
        </w:rPr>
        <w:t xml:space="preserve">Agent Gap Closure — Session Report</w:t>
      </w:r>
    </w:p>
    <w:p>
      <w:pPr>
        <w:spacing w:before="0" w:after="40"/>
      </w:pPr>
      <w:r>
        <w:rPr>
          <w:rFonts w:ascii="Arial" w:cs="Arial" w:eastAsia="Arial" w:hAnsi="Arial"/>
          <w:color w:val="64748B"/>
          <w:sz w:val="20"/>
          <w:szCs w:val="20"/>
        </w:rPr>
        <w:t xml:space="preserve">Hues Technology LLC  |  March 21, 2026</w:t>
      </w:r>
    </w:p>
    <w:p>
      <w:pPr>
        <w:pBdr>
          <w:bottom w:val="single" w:color="2DD4FF" w:sz="6" w:space="1"/>
        </w:pBdr>
        <w:spacing w:before="0" w:after="160"/>
      </w:pPr>
      <w:r>
        <w:t xml:space="preserve"/>
      </w:r>
    </w:p>
    <w:p>
      <w:pPr>
        <w:pStyle w:val="Heading1"/>
        <w:spacing w:before="320" w:after="160"/>
      </w:pPr>
      <w:r>
        <w:rPr>
          <w:rFonts w:ascii="Arial" w:cs="Arial" w:eastAsia="Arial" w:hAnsi="Arial"/>
          <w:b/>
          <w:bCs/>
          <w:color w:val="0F172A"/>
          <w:sz w:val="32"/>
          <w:szCs w:val="32"/>
        </w:rPr>
        <w:t xml:space="preserve">Executive Summary</w:t>
      </w:r>
    </w:p>
    <w:p>
      <w:pPr>
        <w:spacing w:before="60" w:after="60"/>
      </w:pPr>
      <w:r>
        <w:rPr>
          <w:rFonts w:ascii="Arial" w:cs="Arial" w:eastAsia="Arial" w:hAnsi="Arial"/>
          <w:color w:val="374151"/>
          <w:sz w:val="20"/>
          <w:szCs w:val="20"/>
        </w:rPr>
        <w:t xml:space="preserve">This session conducted a full audit of the 10 identified agent capability gaps — areas where the OPSIS agent was collecting rich data that the server was not storing, surfacing, or acting on. All 10 gaps are now closed. The majority were already built in prior sessions; the remaining server-side gaps were implemented in this session, and the agent was rebuilt (v1.6.0) to complete the data flow for gaps requiring agent changes.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120"/>
              <w:left w:type="dxa" w:w="140"/>
              <w:bottom w:type="dxa" w:w="120"/>
              <w:right w:type="dxa" w:w="140"/>
            </w:tcMar>
          </w:tcPr>
          <w:p>
            <w:pPr>
              <w:jc w:val="center"/>
            </w:pPr>
            <w:r>
              <w:rPr>
                <w:rFonts w:ascii="Arial" w:cs="Arial" w:eastAsia="Arial" w:hAnsi="Arial"/>
                <w:b/>
                <w:bCs/>
                <w:color w:val="2DD4FF"/>
                <w:sz w:val="48"/>
                <w:szCs w:val="48"/>
              </w:rPr>
              <w:t xml:space="preserve">10</w:t>
            </w:r>
          </w:p>
          <w:p>
            <w:pPr>
              <w:jc w:val="center"/>
            </w:pPr>
            <w:r>
              <w:rPr>
                <w:rFonts w:ascii="Arial" w:cs="Arial" w:eastAsia="Arial" w:hAnsi="Arial"/>
                <w:color w:val="94A3B8"/>
                <w:sz w:val="18"/>
                <w:szCs w:val="18"/>
              </w:rPr>
              <w:t xml:space="preserve">All Gaps Closed</w:t>
            </w:r>
          </w:p>
        </w:tc>
        <w:tc>
          <w:tcPr>
            <w:tcW w:type="dxa" w:w="2340"/>
            <w:tcBorders>
              <w:top w:val="single" w:color="CCCCCC" w:sz="1"/>
              <w:left w:val="single" w:color="CCCCCC" w:sz="1"/>
              <w:bottom w:val="single" w:color="CCCCCC" w:sz="1"/>
              <w:right w:val="single" w:color="CCCCCC" w:sz="1"/>
            </w:tcBorders>
            <w:shd w:fill="1E293B" w:val="clear"/>
            <w:tcMar>
              <w:top w:type="dxa" w:w="120"/>
              <w:left w:type="dxa" w:w="140"/>
              <w:bottom w:type="dxa" w:w="120"/>
              <w:right w:type="dxa" w:w="140"/>
            </w:tcMar>
          </w:tcPr>
          <w:p>
            <w:pPr>
              <w:jc w:val="center"/>
            </w:pPr>
            <w:r>
              <w:rPr>
                <w:rFonts w:ascii="Arial" w:cs="Arial" w:eastAsia="Arial" w:hAnsi="Arial"/>
                <w:b/>
                <w:bCs/>
                <w:color w:val="2DD4FF"/>
                <w:sz w:val="48"/>
                <w:szCs w:val="48"/>
              </w:rPr>
              <w:t xml:space="preserve">4</w:t>
            </w:r>
          </w:p>
          <w:p>
            <w:pPr>
              <w:jc w:val="center"/>
            </w:pPr>
            <w:r>
              <w:rPr>
                <w:rFonts w:ascii="Arial" w:cs="Arial" w:eastAsia="Arial" w:hAnsi="Arial"/>
                <w:color w:val="94A3B8"/>
                <w:sz w:val="18"/>
                <w:szCs w:val="18"/>
              </w:rPr>
              <w:t xml:space="preserve">Built This Session</w:t>
            </w:r>
          </w:p>
        </w:tc>
        <w:tc>
          <w:tcPr>
            <w:tcW w:type="dxa" w:w="2340"/>
            <w:tcBorders>
              <w:top w:val="single" w:color="CCCCCC" w:sz="1"/>
              <w:left w:val="single" w:color="CCCCCC" w:sz="1"/>
              <w:bottom w:val="single" w:color="CCCCCC" w:sz="1"/>
              <w:right w:val="single" w:color="CCCCCC" w:sz="1"/>
            </w:tcBorders>
            <w:shd w:fill="1E293B" w:val="clear"/>
            <w:tcMar>
              <w:top w:type="dxa" w:w="120"/>
              <w:left w:type="dxa" w:w="140"/>
              <w:bottom w:type="dxa" w:w="120"/>
              <w:right w:type="dxa" w:w="140"/>
            </w:tcMar>
          </w:tcPr>
          <w:p>
            <w:pPr>
              <w:jc w:val="center"/>
            </w:pPr>
            <w:r>
              <w:rPr>
                <w:rFonts w:ascii="Arial" w:cs="Arial" w:eastAsia="Arial" w:hAnsi="Arial"/>
                <w:b/>
                <w:bCs/>
                <w:color w:val="2DD4FF"/>
                <w:sz w:val="48"/>
                <w:szCs w:val="48"/>
              </w:rPr>
              <w:t xml:space="preserve">3</w:t>
            </w:r>
          </w:p>
          <w:p>
            <w:pPr>
              <w:jc w:val="center"/>
            </w:pPr>
            <w:r>
              <w:rPr>
                <w:rFonts w:ascii="Arial" w:cs="Arial" w:eastAsia="Arial" w:hAnsi="Arial"/>
                <w:color w:val="94A3B8"/>
                <w:sz w:val="18"/>
                <w:szCs w:val="18"/>
              </w:rPr>
              <w:t xml:space="preserve">New DB Tables</w:t>
            </w:r>
          </w:p>
        </w:tc>
        <w:tc>
          <w:tcPr>
            <w:tcW w:type="dxa" w:w="2340"/>
            <w:tcBorders>
              <w:top w:val="single" w:color="CCCCCC" w:sz="1"/>
              <w:left w:val="single" w:color="CCCCCC" w:sz="1"/>
              <w:bottom w:val="single" w:color="CCCCCC" w:sz="1"/>
              <w:right w:val="single" w:color="CCCCCC" w:sz="1"/>
            </w:tcBorders>
            <w:shd w:fill="1E293B" w:val="clear"/>
            <w:tcMar>
              <w:top w:type="dxa" w:w="120"/>
              <w:left w:type="dxa" w:w="140"/>
              <w:bottom w:type="dxa" w:w="120"/>
              <w:right w:type="dxa" w:w="140"/>
            </w:tcMar>
          </w:tcPr>
          <w:p>
            <w:pPr>
              <w:jc w:val="center"/>
            </w:pPr>
            <w:r>
              <w:rPr>
                <w:rFonts w:ascii="Arial" w:cs="Arial" w:eastAsia="Arial" w:hAnsi="Arial"/>
                <w:b/>
                <w:bCs/>
                <w:color w:val="2DD4FF"/>
                <w:sz w:val="48"/>
                <w:szCs w:val="48"/>
              </w:rPr>
              <w:t xml:space="preserve">12</w:t>
            </w:r>
          </w:p>
          <w:p>
            <w:pPr>
              <w:jc w:val="center"/>
            </w:pPr>
            <w:r>
              <w:rPr>
                <w:rFonts w:ascii="Arial" w:cs="Arial" w:eastAsia="Arial" w:hAnsi="Arial"/>
                <w:color w:val="94A3B8"/>
                <w:sz w:val="18"/>
                <w:szCs w:val="18"/>
              </w:rPr>
              <w:t xml:space="preserve">AI Pipeline Edits</w:t>
            </w:r>
          </w:p>
        </w:tc>
      </w:tr>
    </w:tbl>
    <w:p>
      <w:pPr>
        <w:spacing w:before="80" w:after="80"/>
      </w:pPr>
      <w:r>
        <w:t xml:space="preserve"/>
      </w:r>
    </w:p>
    <w:p>
      <w:pPr>
        <w:pStyle w:val="Heading1"/>
        <w:spacing w:before="320" w:after="160"/>
      </w:pPr>
      <w:r>
        <w:rPr>
          <w:rFonts w:ascii="Arial" w:cs="Arial" w:eastAsia="Arial" w:hAnsi="Arial"/>
          <w:b/>
          <w:bCs/>
          <w:color w:val="0F172A"/>
          <w:sz w:val="32"/>
          <w:szCs w:val="32"/>
        </w:rPr>
        <w:t xml:space="preserve">Gap Status — All 10 Gaps</w:t>
      </w:r>
    </w:p>
    <w:p>
      <w:pPr>
        <w:spacing w:before="60" w:after="60"/>
      </w:pPr>
      <w:r>
        <w:rPr>
          <w:rFonts w:ascii="Arial" w:cs="Arial" w:eastAsia="Arial" w:hAnsi="Arial"/>
          <w:color w:val="374151"/>
          <w:sz w:val="20"/>
          <w:szCs w:val="20"/>
        </w:rPr>
        <w:t xml:space="preserve">The table below shows the final status of all 10 identified gaps with resolution details and delivery method.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200"/>
        <w:gridCol w:w="900"/>
        <w:gridCol w:w="1960"/>
      </w:tblGrid>
      <w:tr>
        <w:trPr>
          <w:tblHeader/>
        </w:trPr>
        <w:tc>
          <w:tcPr>
            <w:tcW w:type="dxa" w:w="5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18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Gap</w:t>
            </w:r>
          </w:p>
        </w:tc>
        <w:tc>
          <w:tcPr>
            <w:tcW w:type="dxa" w:w="42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Resolution</w:t>
            </w:r>
          </w:p>
        </w:tc>
        <w:tc>
          <w:tcPr>
            <w:tcW w:type="dxa" w:w="9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Status</w:t>
            </w:r>
          </w:p>
        </w:tc>
        <w:tc>
          <w:tcPr>
            <w:tcW w:type="dxa" w:w="196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Delivery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Backup Intelligence dashboard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Server tables, service, routes, frontend, sidebar — all pre-built</w:t>
            </w:r>
          </w:p>
        </w:tc>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CLOSED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B7280"/>
                <w:sz w:val="18"/>
                <w:szCs w:val="18"/>
              </w:rPr>
              <w:t xml:space="preserve">Pre-built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EWMA health scores surfaced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Tables, API, frontend pre-built. Agent now sends ewma_scores in heartbeat</w:t>
            </w:r>
          </w:p>
        </w:tc>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CLOSED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B7280"/>
                <w:sz w:val="18"/>
                <w:szCs w:val="18"/>
              </w:rPr>
              <w:t xml:space="preserve">Pre-built + Agent rebuild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Self-service portal analytics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Table, handler, metrics API, frontend — all pre-built</w:t>
            </w:r>
          </w:p>
        </w:tc>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CLOSED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B7280"/>
                <w:sz w:val="18"/>
                <w:szCs w:val="18"/>
              </w:rPr>
              <w:t xml:space="preserve">Pre-built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Network discovery / unmanaged devices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Handler, table, API, EnvironmentIntelligencePage — all pre-built</w:t>
            </w:r>
          </w:p>
        </w:tc>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CLOSED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B7280"/>
                <w:sz w:val="18"/>
                <w:szCs w:val="18"/>
              </w:rPr>
              <w:t xml:space="preserve">Pre-built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Service dependency blast radius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Built this session: table, heartbeat handler, blast radius engine, playbook injection</w:t>
            </w:r>
          </w:p>
        </w:tc>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CLOSED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B7280"/>
                <w:sz w:val="18"/>
                <w:szCs w:val="18"/>
              </w:rPr>
              <w:t xml:space="preserve">This session + Agent rebuild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Agent dampening state cross-pollination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Built this session: table, escalation handler, Tier 1 cache skip on dampened devices</w:t>
            </w:r>
          </w:p>
        </w:tc>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CLOSED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B7280"/>
                <w:sz w:val="18"/>
                <w:szCs w:val="18"/>
              </w:rPr>
              <w:t xml:space="preserve">This session + Agent rebuild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Fleet context passed to agents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Built this session: fleet_context block injected into every cached rule playbook</w:t>
            </w:r>
          </w:p>
        </w:tc>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CLOSED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B7280"/>
                <w:sz w:val="18"/>
                <w:szCs w:val="18"/>
              </w:rPr>
              <w:t xml:space="preserve">This session + Agent rebuild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Compliance template versioning + rollback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Built this session: history table, auto-snapshot on update, version bump, rollback endpoint</w:t>
            </w:r>
          </w:p>
        </w:tc>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CLOSED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B7280"/>
                <w:sz w:val="18"/>
                <w:szCs w:val="18"/>
              </w:rPr>
              <w:t xml:space="preserve">This session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App-specific local runbooks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6 runbooks built in agent: Chrome, Outlook, Teams, OneDrive, Adobe, Excel/Word</w:t>
            </w:r>
          </w:p>
        </w:tc>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CLOSED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B7280"/>
                <w:sz w:val="18"/>
                <w:szCs w:val="18"/>
              </w:rPr>
              <w:t xml:space="preserve">Agent rebuild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Update deployer + local runbooks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Covered by Gap 9 — app-specific runbooks handle top app crashes locally</w:t>
            </w:r>
          </w:p>
        </w:tc>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CLOSED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6B7280"/>
                <w:sz w:val="18"/>
                <w:szCs w:val="18"/>
              </w:rPr>
              <w:t xml:space="preserve">Agent rebuild</w:t>
            </w:r>
          </w:p>
        </w:tc>
      </w:tr>
    </w:tbl>
    <w:p>
      <w:pPr>
        <w:spacing w:before="80" w:after="80"/>
      </w:pPr>
      <w:r>
        <w:t xml:space="preserve"/>
      </w:r>
    </w:p>
    <w:p>
      <w:pPr>
        <w:pStyle w:val="Heading1"/>
        <w:spacing w:before="320" w:after="160"/>
      </w:pPr>
      <w:r>
        <w:rPr>
          <w:rFonts w:ascii="Arial" w:cs="Arial" w:eastAsia="Arial" w:hAnsi="Arial"/>
          <w:b/>
          <w:bCs/>
          <w:color w:val="0F172A"/>
          <w:sz w:val="32"/>
          <w:szCs w:val="32"/>
        </w:rPr>
        <w:t xml:space="preserve">Server-Side Changes</w:t>
      </w:r>
    </w:p>
    <w:p>
      <w:pPr>
        <w:pStyle w:val="Heading2"/>
        <w:spacing w:before="240" w:after="120"/>
      </w:pPr>
      <w:r>
        <w:rPr>
          <w:rFonts w:ascii="Arial" w:cs="Arial" w:eastAsia="Arial" w:hAnsi="Arial"/>
          <w:b/>
          <w:bCs/>
          <w:color w:val="0F172A"/>
          <w:sz w:val="26"/>
          <w:szCs w:val="26"/>
        </w:rPr>
        <w:t xml:space="preserve">New Database Tables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New Table</w:t>
            </w:r>
          </w:p>
        </w:tc>
        <w:tc>
          <w:tcPr>
            <w:tcW w:type="dxa" w:w="676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endpoint_service_dependencies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Service dependency map per device. Stores dependents[], depends_on[], display_name, start_type, is_critical per service. Unique on (device_id, service_name). Feeds blast radius engine.</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device_playbook_dampening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Per-device playbook dampening state received from agent. Tracks consecutive_failures, success_rate, total_attempts, is_dampened per (device_id, playbook_id). Used to skip dampened playbooks at Tier 1.</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security_template_history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Compliance template version snapshots. Auto-saved before every template update. Stores full checks JSONB, scoring_weights, version, content_hash. Enables rollback to any previous version.</w:t>
            </w:r>
          </w:p>
        </w:tc>
      </w:tr>
    </w:tbl>
    <w:p>
      <w:pPr>
        <w:spacing w:before="80" w:after="80"/>
      </w:pPr>
      <w:r>
        <w:t xml:space="preserve"/>
      </w:r>
    </w:p>
    <w:p>
      <w:pPr>
        <w:pStyle w:val="Heading2"/>
        <w:spacing w:before="240" w:after="120"/>
      </w:pPr>
      <w:r>
        <w:rPr>
          <w:rFonts w:ascii="Arial" w:cs="Arial" w:eastAsia="Arial" w:hAnsi="Arial"/>
          <w:b/>
          <w:bCs/>
          <w:color w:val="0F172A"/>
          <w:sz w:val="26"/>
          <w:szCs w:val="26"/>
        </w:rPr>
        <w:t xml:space="preserve">AI Pipeline Changes</w:t>
      </w:r>
    </w:p>
    <w:p>
      <w:pPr>
        <w:spacing w:before="60" w:after="60"/>
      </w:pPr>
      <w:r>
        <w:rPr>
          <w:rFonts w:ascii="Arial" w:cs="Arial" w:eastAsia="Arial" w:hAnsi="Arial"/>
          <w:color w:val="374151"/>
          <w:sz w:val="20"/>
          <w:szCs w:val="20"/>
        </w:rPr>
        <w:t xml:space="preserve">The following changes were made to the server-side AI pipeline. All changes are non-breaking — every new function catches exceptions and returns the original payload unchanged on error. The pipeline continues to function identically when new tables are empty (no agent data yet).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File</w:t>
            </w:r>
          </w:p>
        </w:tc>
        <w:tc>
          <w:tcPr>
            <w:tcW w:type="dxa" w:w="24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Function / Endpoint</w:t>
            </w:r>
          </w:p>
        </w:tc>
        <w:tc>
          <w:tcPr>
            <w:tcW w:type="dxa" w:w="476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Change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remediation_service.py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_rule_to_playbook()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Added fleet_context block: times_applied, success_count, failure_count, success_rate, human-readable summary, recommendation (high_confidence / proceed / escalate / monitor)</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remediation_service.py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handle_telemetry_signal() Tier 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Added per-device dampening check before auto-executing cached rule. Checks agent-reported dampening_state first, falls back to device_playbook_dampening table. If dampened: marks rule for reverification, falls through to Tier 1.5/2/3</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api/agent_routes.py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process_escalation_async()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Extracts remediation_memory from escalation payload, calls store_dampening_state(), injects dampening_state into signal metadata for remediation_service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api/agent_routes.py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heartbeat handler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Added service_dependency_map receiver: upserts up to 150 services per heartbeat into endpoint_service_dependencies table with dependents, depends_on, display_name, start_type, is_critical</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api/agent_routes.py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apply_blast_radius_check()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New function: inspects playbook steps for service restart/stop, queries endpoint_service_dependencies, injects blast_radius metadata. Sets requires_approval=true if is_critical or 4+ dependents affected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api/agent_routes.py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Playbook send points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apply_blast_radius_check() called at lines ~820 (safety-validated), ~928 (post-diagnostic), ~1040 (Tier 3) before every playbook dispatch to agent</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api/agent_routes.py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get_blast_radius()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New helper: queries endpoint_service_dependencies for a service, returns dependent_count, dependents list, is_critical flag, human-readable warning string</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api/agent_routes.py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store_dampening_state()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New helper: upserts per-device playbook dampening from agent escalation payload into device_playbook_dampening table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api/agent_routes.py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is_playbook_dampened()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New helper: queries device_playbook_dampening, returns (bool, reason) tuple for future use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api/compliance_template_routes.py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update_template()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Added pre-update snapshot to security_template_history table + automatic version bump (e.g. 1.0.0 → 1.0.1) on every custom template save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api/compliance_template_routes.py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GET /templates/{id}/history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New endpoint: returns up to 20 version snapshots for a template with history_id, version, content_hash, saved_at</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api/compliance_template_routes.py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POST /templates/{id}/rollback/{history_id}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New endpoint: snapshots current state, restores historical version, marks version as rollback. Safe — always saves pre-rollback snapshot</w:t>
            </w:r>
          </w:p>
        </w:tc>
      </w:tr>
    </w:tbl>
    <w:p>
      <w:pPr>
        <w:spacing w:before="80" w:after="80"/>
      </w:pPr>
      <w:r>
        <w:t xml:space="preserve"/>
      </w:r>
    </w:p>
    <w:p>
      <w:pPr>
        <w:pStyle w:val="Heading2"/>
        <w:spacing w:before="240" w:after="120"/>
      </w:pPr>
      <w:r>
        <w:rPr>
          <w:rFonts w:ascii="Arial" w:cs="Arial" w:eastAsia="Arial" w:hAnsi="Arial"/>
          <w:b/>
          <w:bCs/>
          <w:color w:val="0F172A"/>
          <w:sz w:val="26"/>
          <w:szCs w:val="26"/>
        </w:rPr>
        <w:t xml:space="preserve">Safety Notes</w:t>
      </w:r>
    </w:p>
    <w:p>
      <w:pPr>
        <w:pStyle w:val="ListParagraph"/>
        <w:numPr>
          <w:ilvl w:val="0"/>
          <w:numId w:val="2"/>
        </w:numPr>
        <w:spacing w:before="40" w:after="40"/>
      </w:pPr>
      <w:r>
        <w:rPr>
          <w:rFonts w:ascii="Arial" w:cs="Arial" w:eastAsia="Arial" w:hAnsi="Arial"/>
          <w:color w:val="374151"/>
          <w:sz w:val="20"/>
          <w:szCs w:val="20"/>
        </w:rPr>
        <w:t xml:space="preserve">apply_blast_radius_check() catches all exceptions and returns the original playbook unchanged on any error. When endpoint_service_dependencies is empty, all playbooks pass through untouched.</w:t>
      </w:r>
    </w:p>
    <w:p>
      <w:pPr>
        <w:pStyle w:val="ListParagraph"/>
        <w:numPr>
          <w:ilvl w:val="0"/>
          <w:numId w:val="2"/>
        </w:numPr>
        <w:spacing w:before="40" w:after="40"/>
      </w:pPr>
      <w:r>
        <w:rPr>
          <w:rFonts w:ascii="Arial" w:cs="Arial" w:eastAsia="Arial" w:hAnsi="Arial"/>
          <w:color w:val="374151"/>
          <w:sz w:val="20"/>
          <w:szCs w:val="20"/>
        </w:rPr>
        <w:t xml:space="preserve">Dampening check at Tier 1 only skips the cache and falls through to Tier 1.5/2/3 — it never blocks remediation entirely. The issue still gets handled, just by a different tier.</w:t>
      </w:r>
    </w:p>
    <w:p>
      <w:pPr>
        <w:pStyle w:val="ListParagraph"/>
        <w:numPr>
          <w:ilvl w:val="0"/>
          <w:numId w:val="2"/>
        </w:numPr>
        <w:spacing w:before="40" w:after="40"/>
      </w:pPr>
      <w:r>
        <w:rPr>
          <w:rFonts w:ascii="Arial" w:cs="Arial" w:eastAsia="Arial" w:hAnsi="Arial"/>
          <w:color w:val="374151"/>
          <w:sz w:val="20"/>
          <w:szCs w:val="20"/>
        </w:rPr>
        <w:t xml:space="preserve">Template rollback always saves a pre-rollback snapshot before restoring, so rollbacks are themselves reversible.</w:t>
      </w:r>
    </w:p>
    <w:p>
      <w:pPr>
        <w:pStyle w:val="ListParagraph"/>
        <w:numPr>
          <w:ilvl w:val="0"/>
          <w:numId w:val="2"/>
        </w:numPr>
        <w:spacing w:before="40" w:after="40"/>
      </w:pPr>
      <w:r>
        <w:rPr>
          <w:rFonts w:ascii="Arial" w:cs="Arial" w:eastAsia="Arial" w:hAnsi="Arial"/>
          <w:color w:val="374151"/>
          <w:sz w:val="20"/>
          <w:szCs w:val="20"/>
        </w:rPr>
        <w:t xml:space="preserve">Fleet context recommendation=escalate blocks auto-execution of Class A fixes with low fleet success rates but still creates a ticket — the issue is not dropped.</w:t>
      </w:r>
    </w:p>
    <w:p>
      <w:pPr>
        <w:pStyle w:val="ListParagraph"/>
        <w:numPr>
          <w:ilvl w:val="0"/>
          <w:numId w:val="2"/>
        </w:numPr>
        <w:spacing w:before="40" w:after="40"/>
      </w:pPr>
      <w:r>
        <w:rPr>
          <w:rFonts w:ascii="Arial" w:cs="Arial" w:eastAsia="Arial" w:hAnsi="Arial"/>
          <w:color w:val="374151"/>
          <w:sz w:val="20"/>
          <w:szCs w:val="20"/>
        </w:rPr>
        <w:t xml:space="preserve">All three new tables have ON CONFLICT DO UPDATE (upsert) semantics — re-deployment is safe.</w:t>
      </w:r>
    </w:p>
    <w:p>
      <w:pPr>
        <w:spacing w:before="80" w:after="80"/>
      </w:pPr>
      <w:r>
        <w:t xml:space="preserve"/>
      </w:r>
    </w:p>
    <w:p>
      <w:pPr>
        <w:pStyle w:val="Heading2"/>
        <w:spacing w:before="240" w:after="120"/>
      </w:pPr>
      <w:r>
        <w:rPr>
          <w:rFonts w:ascii="Arial" w:cs="Arial" w:eastAsia="Arial" w:hAnsi="Arial"/>
          <w:b/>
          <w:bCs/>
          <w:color w:val="0F172A"/>
          <w:sz w:val="26"/>
          <w:szCs w:val="26"/>
        </w:rPr>
        <w:t xml:space="preserve">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32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Endpoint</w:t>
            </w:r>
          </w:p>
        </w:tc>
        <w:tc>
          <w:tcPr>
            <w:tcW w:type="dxa" w:w="536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Courier New" w:cs="Courier New" w:eastAsia="Courier New" w:hAnsi="Courier New"/>
                <w:b/>
                <w:bCs/>
                <w:color w:val="1D4ED8"/>
                <w:sz w:val="17"/>
                <w:szCs w:val="17"/>
              </w:rPr>
              <w:t xml:space="preserve">GET</w:t>
            </w:r>
          </w:p>
        </w:tc>
        <w:tc>
          <w:tcPr>
            <w:tcW w:type="dxa" w:w="3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/api/compliance/templates/{id}/history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Returns up to 20 version snapshots for a compliance template</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Courier New" w:cs="Courier New" w:eastAsia="Courier New" w:hAnsi="Courier New"/>
                <w:b/>
                <w:bCs/>
                <w:color w:val="1D4ED8"/>
                <w:sz w:val="17"/>
                <w:szCs w:val="17"/>
              </w:rPr>
              <w:t xml:space="preserve">POST</w:t>
            </w:r>
          </w:p>
        </w:tc>
        <w:tc>
          <w:tcPr>
            <w:tcW w:type="dxa" w:w="3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/api/compliance/templates/{id}/rollback/{history_id}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Restores template to a previous version snapshot. Saves pre-rollback state first.</w:t>
            </w:r>
          </w:p>
        </w:tc>
      </w:tr>
    </w:tbl>
    <w:p>
      <w:pPr>
        <w:spacing w:before="80" w:after="80"/>
      </w:pPr>
      <w:r>
        <w:t xml:space="preserve"/>
      </w:r>
    </w:p>
    <w:p>
      <w:pPr>
        <w:pStyle w:val="Heading1"/>
        <w:spacing w:before="320" w:after="160"/>
      </w:pPr>
      <w:r>
        <w:rPr>
          <w:rFonts w:ascii="Arial" w:cs="Arial" w:eastAsia="Arial" w:hAnsi="Arial"/>
          <w:b/>
          <w:bCs/>
          <w:color w:val="0F172A"/>
          <w:sz w:val="32"/>
          <w:szCs w:val="32"/>
        </w:rPr>
        <w:t xml:space="preserve">Agent Rebuild — v1.6.0</w:t>
      </w:r>
    </w:p>
    <w:p>
      <w:pPr>
        <w:spacing w:before="60" w:after="60"/>
      </w:pPr>
      <w:r>
        <w:rPr>
          <w:rFonts w:ascii="Arial" w:cs="Arial" w:eastAsia="Arial" w:hAnsi="Arial"/>
          <w:color w:val="374151"/>
          <w:sz w:val="20"/>
          <w:szCs w:val="20"/>
        </w:rPr>
        <w:t xml:space="preserve">The OPSIS agent was rebuilt to v1.6.0 to complete the data flow for gaps 2, 5, 6, 7, and 9. All items below were confirmed implemented before the build.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3660"/>
        <w:gridCol w:w="1600"/>
      </w:tblGrid>
      <w:tr>
        <w:trPr>
          <w:tblHeader/>
        </w:trPr>
        <w:tc>
          <w:tcPr>
            <w:tcW w:type="dxa" w:w="21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20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Files</w:t>
            </w:r>
          </w:p>
        </w:tc>
        <w:tc>
          <w:tcPr>
            <w:tcW w:type="dxa" w:w="366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Implementation</w:t>
            </w:r>
          </w:p>
        </w:tc>
        <w:tc>
          <w:tcPr>
            <w:tcW w:type="dxa" w:w="16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EWMA scores in heartbeat</w:t>
            </w:r>
          </w:p>
        </w:tc>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pattern-detector.ts + agent-service.ts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getEWMAScores() getter + ewma_scores field in heartbeat payload</w:t>
            </w:r>
          </w:p>
        </w:tc>
        <w:tc>
          <w:tcPr>
            <w:tcW w:type="dxa" w:w="16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DONE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Service dependency map in heartbeat</w:t>
            </w:r>
          </w:p>
        </w:tc>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state-tracker.ts + agent-service.ts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getEnrichedDependencyMap() getter + service_dependency_map in heartbeat payload</w:t>
            </w:r>
          </w:p>
        </w:tc>
        <w:tc>
          <w:tcPr>
            <w:tcW w:type="dxa" w:w="16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DONE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Remediation memory in escalation</w:t>
            </w:r>
          </w:p>
        </w:tc>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remediation-memory.ts + agent-service.ts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getDampeningState() getter + remediation_memory in single + batch escalation payloads</w:t>
            </w:r>
          </w:p>
        </w:tc>
        <w:tc>
          <w:tcPr>
            <w:tcW w:type="dxa" w:w="16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DONE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Fleet context handling</w:t>
            </w:r>
          </w:p>
        </w:tc>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agent-service.ts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fleet_context.recommendation checked in receivePlaybook(), event-monitor path, system-signal path. Blocks auto-execute if recommendation=escalate</w:t>
            </w:r>
          </w:p>
        </w:tc>
        <w:tc>
          <w:tcPr>
            <w:tcW w:type="dxa" w:w="16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DONE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Compliance scanner fixes</w:t>
            </w:r>
          </w:p>
        </w:tc>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compliance-scanner.ts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GPO detection, third-party AV via SecurityCenter2, domain-joined detection, 4-hour interval, gpo_controlled status field</w:t>
            </w:r>
          </w:p>
        </w:tc>
        <w:tc>
          <w:tcPr>
            <w:tcW w:type="dxa" w:w="16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DONE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App-specific local runbooks</w:t>
            </w:r>
          </w:p>
        </w:tc>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runbooks/ (6 new files)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rb-chrome-crash, rb-outlook-crash, rb-teams-crash, rb-onedrive-crash, rb-adobe-crash, rb-excel-word-crash. Auto-routed via messagePattern confidence scoring</w:t>
            </w:r>
          </w:p>
        </w:tc>
        <w:tc>
          <w:tcPr>
            <w:tcW w:type="dxa" w:w="16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pPr>
              <w:jc w:val="center"/>
            </w:pPr>
            <w:r>
              <w:rPr>
                <w:rFonts w:ascii="Arial" w:cs="Arial" w:eastAsia="Arial" w:hAnsi="Arial"/>
                <w:b/>
                <w:bCs/>
                <w:color w:val="166534"/>
                <w:sz w:val="16"/>
                <w:szCs w:val="16"/>
              </w:rPr>
              <w:t xml:space="preserve">DONE</w:t>
            </w:r>
          </w:p>
        </w:tc>
      </w:tr>
    </w:tbl>
    <w:p>
      <w:pPr>
        <w:spacing w:before="80" w:after="80"/>
      </w:pPr>
      <w:r>
        <w:t xml:space="preserve"/>
      </w:r>
    </w:p>
    <w:p>
      <w:pPr>
        <w:pStyle w:val="Heading2"/>
        <w:spacing w:before="240" w:after="120"/>
      </w:pPr>
      <w:r>
        <w:rPr>
          <w:rFonts w:ascii="Arial" w:cs="Arial" w:eastAsia="Arial" w:hAnsi="Arial"/>
          <w:b/>
          <w:bCs/>
          <w:color w:val="0F172A"/>
          <w:sz w:val="26"/>
          <w:szCs w:val="26"/>
        </w:rPr>
        <w:t xml:space="preserve">How App-Specific Runbooks Are Routed</w:t>
      </w:r>
    </w:p>
    <w:p>
      <w:pPr>
        <w:spacing w:before="60" w:after="60"/>
      </w:pPr>
      <w:r>
        <w:rPr>
          <w:rFonts w:ascii="Arial" w:cs="Arial" w:eastAsia="Arial" w:hAnsi="Arial"/>
          <w:color w:val="374151"/>
          <w:sz w:val="20"/>
          <w:szCs w:val="20"/>
        </w:rPr>
        <w:t xml:space="preserve">No code changes were required for runbook routing. The event monitor's matchRunbook() loads all .json files from the runbooks/ directory and scores each against incoming events using confidence calculation: score / checks. App-specific runbooks (e.g. rb-chrome-crash) match on logName + eventId + messagePattern (3/3 = 1.0 confidence). The generic rb-application-crash matches on logName + eventId + level + messagePattern (3.5/4 = 0.875). The specific runbook always wins. Falls back to generic if no app-specific match exists.</w:t>
      </w:r>
    </w:p>
    <w:p>
      <w:pPr>
        <w:spacing w:before="80" w:after="80"/>
      </w:pPr>
      <w:r>
        <w:t xml:space="preserve"/>
      </w:r>
    </w:p>
    <w:p>
      <w:pPr>
        <w:pStyle w:val="Heading1"/>
        <w:spacing w:before="320" w:after="160"/>
      </w:pPr>
      <w:r>
        <w:rPr>
          <w:rFonts w:ascii="Arial" w:cs="Arial" w:eastAsia="Arial" w:hAnsi="Arial"/>
          <w:b/>
          <w:bCs/>
          <w:color w:val="0F172A"/>
          <w:sz w:val="32"/>
          <w:szCs w:val="32"/>
        </w:rPr>
        <w:t xml:space="preserve">Git Commits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Commit</w:t>
            </w:r>
          </w:p>
        </w:tc>
        <w:tc>
          <w:tcPr>
            <w:tcW w:type="dxa" w:w="7960"/>
            <w:tcBorders>
              <w:top w:val="single" w:color="BBBBBB" w:sz="1"/>
              <w:left w:val="single" w:color="BBBBBB" w:sz="1"/>
              <w:bottom w:val="single" w:color="BBBBBB" w:sz="1"/>
              <w:right w:val="single" w:color="BBBBBB"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Message</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1620a0b</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feat: gap5 service dependency blast radius engine - table, heartbeat handler, playbook injection</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619bc5f</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feat: gap6 playbook dampening engine - table, escalation handler, tier1 cache skip on dampened devices</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170e72c</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feat: gap7 fleet context in playbook delivery - success rate, recommendation, human-readable summary injected into every cached rule playbook</w:t>
            </w:r>
          </w:p>
        </w:tc>
      </w:tr>
      <w:tr>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Courier New" w:cs="Courier New" w:eastAsia="Courier New" w:hAnsi="Courier New"/>
                <w:color w:val="1E40AF"/>
                <w:sz w:val="17"/>
                <w:szCs w:val="17"/>
              </w:rPr>
              <w:t xml:space="preserve">(template)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feat: gap8 compliance template versioning and rollback - history table, auto-snapshot on update, version bump, rollback endpoint, history endpoint</w:t>
            </w:r>
          </w:p>
        </w:tc>
      </w:tr>
    </w:tbl>
    <w:p>
      <w:pPr>
        <w:spacing w:before="80" w:after="80"/>
      </w:pPr>
      <w:r>
        <w:t xml:space="preserve"/>
      </w:r>
    </w:p>
    <w:p>
      <w:pPr>
        <w:pStyle w:val="Heading1"/>
        <w:spacing w:before="320" w:after="160"/>
      </w:pPr>
      <w:r>
        <w:rPr>
          <w:rFonts w:ascii="Arial" w:cs="Arial" w:eastAsia="Arial" w:hAnsi="Arial"/>
          <w:b/>
          <w:bCs/>
          <w:color w:val="0F172A"/>
          <w:sz w:val="32"/>
          <w:szCs w:val="32"/>
        </w:rPr>
        <w:t xml:space="preserve">What to Watch After Agent Deployment</w:t>
      </w:r>
    </w:p>
    <w:p>
      <w:pPr>
        <w:pStyle w:val="ListParagraph"/>
        <w:numPr>
          <w:ilvl w:val="0"/>
          <w:numId w:val="2"/>
        </w:numPr>
        <w:spacing w:before="40" w:after="40"/>
      </w:pPr>
      <w:r>
        <w:rPr>
          <w:rFonts w:ascii="Arial" w:cs="Arial" w:eastAsia="Arial" w:hAnsi="Arial"/>
          <w:color w:val="374151"/>
          <w:sz w:val="20"/>
          <w:szCs w:val="20"/>
        </w:rPr>
        <w:t xml:space="preserve">docker logs opsis-backend | grep dep_map — confirms service dependency map is being received and stored</w:t>
      </w:r>
    </w:p>
    <w:p>
      <w:pPr>
        <w:pStyle w:val="ListParagraph"/>
        <w:numPr>
          <w:ilvl w:val="0"/>
          <w:numId w:val="2"/>
        </w:numPr>
        <w:spacing w:before="40" w:after="40"/>
      </w:pPr>
      <w:r>
        <w:rPr>
          <w:rFonts w:ascii="Arial" w:cs="Arial" w:eastAsia="Arial" w:hAnsi="Arial"/>
          <w:color w:val="374151"/>
          <w:sz w:val="20"/>
          <w:szCs w:val="20"/>
        </w:rPr>
        <w:t xml:space="preserve">docker logs opsis-backend | grep blast_radius — confirms blast radius checks are firing on playbook dispatches</w:t>
      </w:r>
    </w:p>
    <w:p>
      <w:pPr>
        <w:pStyle w:val="ListParagraph"/>
        <w:numPr>
          <w:ilvl w:val="0"/>
          <w:numId w:val="2"/>
        </w:numPr>
        <w:spacing w:before="40" w:after="40"/>
      </w:pPr>
      <w:r>
        <w:rPr>
          <w:rFonts w:ascii="Arial" w:cs="Arial" w:eastAsia="Arial" w:hAnsi="Arial"/>
          <w:color w:val="374151"/>
          <w:sz w:val="20"/>
          <w:szCs w:val="20"/>
        </w:rPr>
        <w:t xml:space="preserve">docker logs opsis-backend | grep dampening — confirms dampening state is arriving from escalations</w:t>
      </w:r>
    </w:p>
    <w:p>
      <w:pPr>
        <w:pStyle w:val="ListParagraph"/>
        <w:numPr>
          <w:ilvl w:val="0"/>
          <w:numId w:val="2"/>
        </w:numPr>
        <w:spacing w:before="40" w:after="40"/>
      </w:pPr>
      <w:r>
        <w:rPr>
          <w:rFonts w:ascii="Arial" w:cs="Arial" w:eastAsia="Arial" w:hAnsi="Arial"/>
          <w:color w:val="374151"/>
          <w:sz w:val="20"/>
          <w:szCs w:val="20"/>
        </w:rPr>
        <w:t xml:space="preserve">SELECT COUNT(*) FROM endpoint_service_dependencies — should grow as agents send heartbeats</w:t>
      </w:r>
    </w:p>
    <w:p>
      <w:pPr>
        <w:pStyle w:val="ListParagraph"/>
        <w:numPr>
          <w:ilvl w:val="0"/>
          <w:numId w:val="2"/>
        </w:numPr>
        <w:spacing w:before="40" w:after="40"/>
      </w:pPr>
      <w:r>
        <w:rPr>
          <w:rFonts w:ascii="Arial" w:cs="Arial" w:eastAsia="Arial" w:hAnsi="Arial"/>
          <w:color w:val="374151"/>
          <w:sz w:val="20"/>
          <w:szCs w:val="20"/>
        </w:rPr>
        <w:t xml:space="preserve">SELECT device_id, ewma_scores FROM endpoints WHERE ewma_scores != '{}' — EWMA scores should now be populated</w:t>
      </w:r>
    </w:p>
    <w:p>
      <w:pPr>
        <w:pStyle w:val="ListParagraph"/>
        <w:numPr>
          <w:ilvl w:val="0"/>
          <w:numId w:val="2"/>
        </w:numPr>
        <w:spacing w:before="40" w:after="40"/>
      </w:pPr>
      <w:r>
        <w:rPr>
          <w:rFonts w:ascii="Arial" w:cs="Arial" w:eastAsia="Arial" w:hAnsi="Arial"/>
          <w:color w:val="374151"/>
          <w:sz w:val="20"/>
          <w:szCs w:val="20"/>
        </w:rPr>
        <w:t xml:space="preserve">SELECT COUNT(*) FROM device_ewma_history — should accumulate 5-minute snapshots</w:t>
      </w:r>
    </w:p>
    <w:p>
      <w:pPr>
        <w:pStyle w:val="ListParagraph"/>
        <w:numPr>
          <w:ilvl w:val="0"/>
          <w:numId w:val="2"/>
        </w:numPr>
        <w:spacing w:before="40" w:after="40"/>
      </w:pPr>
      <w:r>
        <w:rPr>
          <w:rFonts w:ascii="Arial" w:cs="Arial" w:eastAsia="Arial" w:hAnsi="Arial"/>
          <w:color w:val="374151"/>
          <w:sz w:val="20"/>
          <w:szCs w:val="20"/>
        </w:rPr>
        <w:t xml:space="preserve">App-specific runbook matches: watch for rb-chrome-crash, rb-outlook-crash etc. in agent logs when apps crash</w:t>
      </w:r>
    </w:p>
    <w:p>
      <w:pPr>
        <w:spacing w:before="80" w:after="80"/>
      </w:pPr>
      <w:r>
        <w:t xml:space="preserve"/>
      </w:r>
    </w:p>
    <w:p>
      <w:pPr>
        <w:pBdr>
          <w:top w:val="single" w:color="2DD4FF" w:sz="4" w:space="1"/>
        </w:pBdr>
        <w:spacing w:before="200" w:after="80"/>
      </w:pPr>
      <w:r>
        <w:rPr>
          <w:rFonts w:ascii="Arial" w:cs="Arial" w:eastAsia="Arial" w:hAnsi="Arial"/>
          <w:color w:val="94A3B8"/>
          <w:sz w:val="16"/>
          <w:szCs w:val="16"/>
        </w:rPr>
        <w:t xml:space="preserve">OPSIS  |  Hues Technology LLC  |  Confidential</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172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2026-03-21T00:57:09.196Z</dcterms:created>
  <dcterms:modified xsi:type="dcterms:W3CDTF">2026-03-21T00:57:09.197Z</dcterms:modified>
</cp:coreProperties>
</file>

<file path=docProps/custom.xml><?xml version="1.0" encoding="utf-8"?>
<Properties xmlns="http://schemas.openxmlformats.org/officeDocument/2006/custom-properties" xmlns:vt="http://schemas.openxmlformats.org/officeDocument/2006/docPropsVTypes"/>
</file>