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7C3AED"/>
          <w:sz w:val="80"/>
          <w:szCs w:val="80"/>
        </w:rPr>
        <w:t xml:space="preserve">WALI-OS</w:t>
      </w:r>
    </w:p>
    <w:p>
      <w:pPr>
        <w:spacing w:after="60" w:before="0"/>
      </w:pPr>
      <w:r>
        <w:rPr>
          <w:rFonts w:ascii="Arial" w:cs="Arial" w:eastAsia="Arial" w:hAnsi="Arial"/>
          <w:b/>
          <w:bCs/>
          <w:color w:val="111827"/>
          <w:sz w:val="38"/>
          <w:szCs w:val="38"/>
        </w:rPr>
        <w:t xml:space="preserve">AI-Powered Stock Analysis &amp; Portfolio Intelligence</w:t>
      </w:r>
    </w:p>
    <w:p>
      <w:pPr>
        <w:spacing w:after="0" w:before="0"/>
      </w:pPr>
      <w:r>
        <w:rPr>
          <w:rFonts w:ascii="Arial" w:cs="Arial" w:eastAsia="Arial" w:hAnsi="Arial"/>
          <w:color w:val="6B7280"/>
          <w:sz w:val="26"/>
          <w:szCs w:val="26"/>
        </w:rPr>
        <w:t xml:space="preserve">The only retail platform that runs 6 AI analysts in a live adversarial debate — </w:t>
      </w:r>
      <w:r>
        <w:rPr>
          <w:rFonts w:ascii="Arial" w:cs="Arial" w:eastAsia="Arial" w:hAnsi="Arial"/>
          <w:b/>
          <w:bCs/>
          <w:color w:val="7C3AED"/>
          <w:sz w:val="26"/>
          <w:szCs w:val="26"/>
        </w:rPr>
        <w:t xml:space="preserve">before giving you a verdict.</w:t>
      </w:r>
    </w:p>
    <w:p>
      <w:pPr>
        <w:pBdr>
          <w:bottom w:val="single" w:color="7C3AED" w:sz="3" w:space="1"/>
        </w:pBdr>
        <w:spacing w:after="240" w:before="180"/>
      </w:pPr>
    </w:p>
    <w:p>
      <w:pPr>
        <w:spacing w:after="120" w:before="0"/>
      </w:pPr>
      <w:r>
        <w:rPr>
          <w:rFonts w:ascii="Arial" w:cs="Arial" w:eastAsia="Arial" w:hAnsi="Arial"/>
          <w:b/>
          <w:bCs/>
          <w:caps/>
          <w:color w:val="7C3AED"/>
          <w:sz w:val="20"/>
          <w:szCs w:val="20"/>
        </w:rPr>
        <w:t xml:space="preserve">WHAT IS WALI-OS</w:t>
      </w:r>
    </w:p>
    <w:p>
      <w:pPr>
        <w:spacing/>
        <w:jc w:val="left"/>
      </w:pPr>
      <w:r>
        <w:rPr>
          <w:rFonts w:ascii="Arial" w:cs="Arial" w:eastAsia="Arial" w:hAnsi="Arial"/>
          <w:color w:val="111827"/>
          <w:sz w:val="22"/>
          <w:szCs w:val="22"/>
        </w:rPr>
        <w:t xml:space="preserve">Wali-OS is an institutional-grade AI analysis platform built for individual traders. Instead of a single AI giving you an opinion, every analysis runs through a </w:t>
      </w:r>
      <w:r>
        <w:rPr>
          <w:rFonts w:ascii="Arial" w:cs="Arial" w:eastAsia="Arial" w:hAnsi="Arial"/>
          <w:b/>
          <w:bCs/>
          <w:color w:val="7C3AED"/>
          <w:sz w:val="22"/>
          <w:szCs w:val="22"/>
        </w:rPr>
        <w:t xml:space="preserve">6-stage adversarial debate </w:t>
      </w:r>
      <w:r>
        <w:rPr>
          <w:rFonts w:ascii="Arial" w:cs="Arial" w:eastAsia="Arial" w:hAnsi="Arial"/>
          <w:color w:val="111827"/>
          <w:sz w:val="22"/>
          <w:szCs w:val="22"/>
        </w:rPr>
        <w:t xml:space="preserve">where multiple AI models with different perspectives challenge and rebut each other — before a Judge delivers a verdict with a specific entry, stop, and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Stage</w:t>
            </w:r>
          </w:p>
        </w:tc>
        <w:tc>
          <w:tcPr>
            <w:tcW w:type="dxa" w:w="180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Role</w:t>
            </w:r>
          </w:p>
        </w:tc>
        <w:tc>
          <w:tcPr>
            <w:tcW w:type="dxa" w:w="686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What They Do</w:t>
            </w:r>
          </w:p>
        </w:tc>
      </w:tr>
      <w:tr>
        <w:tc>
          <w:tcPr>
            <w:tcW w:type="dxa" w:w="7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center"/>
            </w:pPr>
            <w:r>
              <w:rPr>
                <w:rFonts w:ascii="Arial" w:cs="Arial" w:eastAsia="Arial" w:hAnsi="Arial"/>
                <w:b/>
                <w:bCs/>
                <w:color w:val="7C3AED"/>
                <w:sz w:val="20"/>
                <w:szCs w:val="20"/>
              </w:rPr>
              <w:t xml:space="preserve">1</w:t>
            </w:r>
          </w:p>
        </w:tc>
        <w:tc>
          <w:tcPr>
            <w:tcW w:type="dxa" w:w="18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111827"/>
                <w:sz w:val="20"/>
                <w:szCs w:val="20"/>
              </w:rPr>
              <w:t xml:space="preserve">News Scout (Gemini)</w:t>
            </w:r>
          </w:p>
        </w:tc>
        <w:tc>
          <w:tcPr>
            <w:tcW w:type="dxa" w:w="68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Scans real-time headlines, macro conditions, and sentiment. Sets the information baseline before debate begins.</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center"/>
            </w:pPr>
            <w:r>
              <w:rPr>
                <w:rFonts w:ascii="Arial" w:cs="Arial" w:eastAsia="Arial" w:hAnsi="Arial"/>
                <w:b/>
                <w:bCs/>
                <w:color w:val="7C3AED"/>
                <w:sz w:val="20"/>
                <w:szCs w:val="20"/>
              </w:rPr>
              <w:t xml:space="preserve">2</w:t>
            </w:r>
          </w:p>
        </w:tc>
        <w:tc>
          <w:tcPr>
            <w:tcW w:type="dxa" w:w="1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b/>
                <w:bCs/>
                <w:color w:val="111827"/>
                <w:sz w:val="20"/>
                <w:szCs w:val="20"/>
              </w:rPr>
              <w:t xml:space="preserve">Lead Analyst (Claude)</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Builds primary thesis using technicals, fundamentals, smart money, and options flow. Issues initial signal.</w:t>
            </w:r>
          </w:p>
        </w:tc>
      </w:tr>
      <w:tr>
        <w:tc>
          <w:tcPr>
            <w:tcW w:type="dxa" w:w="7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center"/>
            </w:pPr>
            <w:r>
              <w:rPr>
                <w:rFonts w:ascii="Arial" w:cs="Arial" w:eastAsia="Arial" w:hAnsi="Arial"/>
                <w:b/>
                <w:bCs/>
                <w:color w:val="7C3AED"/>
                <w:sz w:val="20"/>
                <w:szCs w:val="20"/>
              </w:rPr>
              <w:t xml:space="preserve">3</w:t>
            </w:r>
          </w:p>
        </w:tc>
        <w:tc>
          <w:tcPr>
            <w:tcW w:type="dxa" w:w="18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111827"/>
                <w:sz w:val="20"/>
                <w:szCs w:val="20"/>
              </w:rPr>
              <w:t xml:space="preserve">Devil's Advocate (GPT-4o)</w:t>
            </w:r>
          </w:p>
        </w:tc>
        <w:tc>
          <w:tcPr>
            <w:tcW w:type="dxa" w:w="68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Challenges every assumption. Finds what the Lead Analyst missed. Forces intellectual honesty.</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center"/>
            </w:pPr>
            <w:r>
              <w:rPr>
                <w:rFonts w:ascii="Arial" w:cs="Arial" w:eastAsia="Arial" w:hAnsi="Arial"/>
                <w:b/>
                <w:bCs/>
                <w:color w:val="7C3AED"/>
                <w:sz w:val="20"/>
                <w:szCs w:val="20"/>
              </w:rPr>
              <w:t xml:space="preserve">4</w:t>
            </w:r>
          </w:p>
        </w:tc>
        <w:tc>
          <w:tcPr>
            <w:tcW w:type="dxa" w:w="1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b/>
                <w:bCs/>
                <w:color w:val="111827"/>
                <w:sz w:val="20"/>
                <w:szCs w:val="20"/>
              </w:rPr>
              <w:t xml:space="preserve">Rebuttal (Claude)</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Lead Analyst defends position with fresh mid-debate research from the News Scout. Concedes valid points.</w:t>
            </w:r>
          </w:p>
        </w:tc>
      </w:tr>
      <w:tr>
        <w:tc>
          <w:tcPr>
            <w:tcW w:type="dxa" w:w="7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center"/>
            </w:pPr>
            <w:r>
              <w:rPr>
                <w:rFonts w:ascii="Arial" w:cs="Arial" w:eastAsia="Arial" w:hAnsi="Arial"/>
                <w:b/>
                <w:bCs/>
                <w:color w:val="7C3AED"/>
                <w:sz w:val="20"/>
                <w:szCs w:val="20"/>
              </w:rPr>
              <w:t xml:space="preserve">5</w:t>
            </w:r>
          </w:p>
        </w:tc>
        <w:tc>
          <w:tcPr>
            <w:tcW w:type="dxa" w:w="18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111827"/>
                <w:sz w:val="20"/>
                <w:szCs w:val="20"/>
              </w:rPr>
              <w:t xml:space="preserve">Counter (GPT-4o)</w:t>
            </w:r>
          </w:p>
        </w:tc>
        <w:tc>
          <w:tcPr>
            <w:tcW w:type="dxa" w:w="68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Final challenge. Presses unresolved weaknesses. Closes with single strongest argument for the Judge.</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center"/>
            </w:pPr>
            <w:r>
              <w:rPr>
                <w:rFonts w:ascii="Arial" w:cs="Arial" w:eastAsia="Arial" w:hAnsi="Arial"/>
                <w:b/>
                <w:bCs/>
                <w:color w:val="7C3AED"/>
                <w:sz w:val="20"/>
                <w:szCs w:val="20"/>
              </w:rPr>
              <w:t xml:space="preserve">6</w:t>
            </w:r>
          </w:p>
        </w:tc>
        <w:tc>
          <w:tcPr>
            <w:tcW w:type="dxa" w:w="1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b/>
                <w:bCs/>
                <w:color w:val="111827"/>
                <w:sz w:val="20"/>
                <w:szCs w:val="20"/>
              </w:rPr>
              <w:t xml:space="preserve">Judge (Claude Opus)</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Weighs argument quality — not vote count. Issues final verdict: signal, entry, stop, target, action plan.</w:t>
            </w:r>
          </w:p>
        </w:tc>
      </w:tr>
    </w:tbl>
    <w:p>
      <w:pPr>
        <w:pBdr>
          <w:bottom w:val="single" w:color="E5E7EB" w:sz="3" w:space="1"/>
        </w:pBdr>
        <w:spacing w:after="200" w:before="240"/>
      </w:pPr>
    </w:p>
    <w:p>
      <w:pPr>
        <w:spacing w:after="120" w:before="300"/>
      </w:pPr>
      <w:r>
        <w:rPr>
          <w:rFonts w:ascii="Arial" w:cs="Arial" w:eastAsia="Arial" w:hAnsi="Arial"/>
          <w:b/>
          <w:bCs/>
          <w:caps/>
          <w:color w:val="7C3AED"/>
          <w:sz w:val="20"/>
          <w:szCs w:val="20"/>
        </w:rPr>
        <w:t xml:space="preserve">PRICING</w:t>
      </w:r>
    </w:p>
    <w:p>
      <w:pPr>
        <w:spacing/>
        <w:jc w:val="left"/>
      </w:pPr>
      <w:r>
        <w:rPr>
          <w:rFonts w:ascii="Arial" w:cs="Arial" w:eastAsia="Arial" w:hAnsi="Arial"/>
          <w:color w:val="111827"/>
          <w:sz w:val="22"/>
          <w:szCs w:val="22"/>
        </w:rPr>
        <w:t xml:space="preserve">Simple, transparent pricing. </w:t>
      </w:r>
      <w:r>
        <w:rPr>
          <w:rFonts w:ascii="Arial" w:cs="Arial" w:eastAsia="Arial" w:hAnsi="Arial"/>
          <w:b/>
          <w:bCs/>
          <w:color w:val="7C3AED"/>
          <w:sz w:val="22"/>
          <w:szCs w:val="22"/>
        </w:rPr>
        <w:t xml:space="preserve">No ads. No selling your data. Cancel anytime.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60"/>
        <w:gridCol w:w="4320"/>
        <w:gridCol w:w="360"/>
      </w:tblGrid>
      <w:tr>
        <w:tc>
          <w:tcPr>
            <w:tcW w:type="dxa" w:w="4320"/>
            <w:tcBorders>
              <w:top w:val="none" w:color="FFFFFF" w:sz="0"/>
              <w:left w:val="none" w:color="FFFFFF" w:sz="0"/>
              <w:bottom w:val="none" w:color="FFFFFF" w:sz="0"/>
              <w:right w:val="none" w:color="FFFFFF" w:sz="0"/>
            </w:tcBorders>
          </w:tcPr>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none" w:color="FFFFFF" w:sz="0"/>
                    <w:left w:val="none" w:color="FFFFFF" w:sz="0"/>
                    <w:bottom w:val="none" w:color="FFFFFF" w:sz="0"/>
                    <w:right w:val="none" w:color="FFFFFF" w:sz="0"/>
                  </w:tcBorders>
                  <w:shd w:fill="F9FAFB" w:val="clear"/>
                  <w:tcMar>
                    <w:top w:type="dxa" w:w="200"/>
                    <w:left w:type="dxa" w:w="200"/>
                    <w:bottom w:type="dxa" w:w="0"/>
                    <w:right w:type="dxa" w:w="200"/>
                  </w:tcMar>
                </w:tcPr>
                <w:p>
                  <w:pPr>
                    <w:spacing/>
                    <w:jc w:val="center"/>
                  </w:pPr>
                  <w:r>
                    <w:rPr>
                      <w:rFonts w:ascii="Arial" w:cs="Arial" w:eastAsia="Arial" w:hAnsi="Arial"/>
                      <w:b/>
                      <w:bCs/>
                      <w:color w:val="7C3AED"/>
                      <w:sz w:val="32"/>
                      <w:szCs w:val="32"/>
                    </w:rPr>
                    <w:t xml:space="preserve">Standard</w:t>
                  </w:r>
                </w:p>
              </w:tc>
            </w:tr>
            <w:tr>
              <w:tc>
                <w:tcPr>
                  <w:tcW w:type="dxa" w:w="4320"/>
                  <w:tcBorders>
                    <w:top w:val="none" w:color="FFFFFF" w:sz="0"/>
                    <w:left w:val="none" w:color="FFFFFF" w:sz="0"/>
                    <w:bottom w:val="none" w:color="FFFFFF" w:sz="0"/>
                    <w:right w:val="none" w:color="FFFFFF" w:sz="0"/>
                  </w:tcBorders>
                  <w:shd w:fill="F9FAFB" w:val="clear"/>
                  <w:tcMar>
                    <w:top w:type="dxa" w:w="80"/>
                    <w:left w:type="dxa" w:w="200"/>
                    <w:bottom w:type="dxa" w:w="0"/>
                    <w:right w:type="dxa" w:w="200"/>
                  </w:tcMar>
                </w:tcPr>
                <w:p>
                  <w:pPr>
                    <w:spacing/>
                    <w:jc w:val="center"/>
                  </w:pPr>
                  <w:r>
                    <w:rPr>
                      <w:rFonts w:ascii="Arial" w:cs="Arial" w:eastAsia="Arial" w:hAnsi="Arial"/>
                      <w:b/>
                      <w:bCs/>
                      <w:color w:val="111827"/>
                      <w:sz w:val="56"/>
                      <w:szCs w:val="56"/>
                    </w:rPr>
                    <w:t xml:space="preserve">$29</w:t>
                  </w:r>
                  <w:r>
                    <w:rPr>
                      <w:rFonts w:ascii="Arial" w:cs="Arial" w:eastAsia="Arial" w:hAnsi="Arial"/>
                      <w:color w:val="6B7280"/>
                      <w:sz w:val="22"/>
                      <w:szCs w:val="22"/>
                    </w:rPr>
                    <w:t xml:space="preserve">/month</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80"/>
                    <w:right w:type="dxa" w:w="200"/>
                  </w:tcMar>
                </w:tcPr>
                <w:p>
                  <w:pPr>
                    <w:spacing/>
                    <w:jc w:val="center"/>
                  </w:pPr>
                  <w:r>
                    <w:rPr>
                      <w:rFonts w:ascii="Arial" w:cs="Arial" w:eastAsia="Arial" w:hAnsi="Arial"/>
                      <w:i/>
                      <w:iCs/>
                      <w:color w:val="6B7280"/>
                      <w:sz w:val="20"/>
                      <w:szCs w:val="20"/>
                    </w:rPr>
                    <w:t xml:space="preserve">For active retail traders</w:t>
                  </w:r>
                </w:p>
              </w:tc>
            </w:tr>
            <w:tr>
              <w:tc>
                <w:tcPr>
                  <w:tcW w:type="dxa" w:w="4320"/>
                  <w:tcBorders>
                    <w:top w:val="none" w:color="FFFFFF" w:sz="0"/>
                    <w:left w:val="none" w:color="FFFFFF" w:sz="0"/>
                    <w:bottom w:val="none" w:color="FFFFFF" w:sz="0"/>
                    <w:right w:val="none" w:color="FFFFFF" w:sz="0"/>
                  </w:tcBorders>
                  <w:shd w:fill="F9FAFB" w:val="clear"/>
                  <w:tcMar>
                    <w:top w:type="dxa" w:w="0"/>
                    <w:left w:type="dxa" w:w="200"/>
                    <w:bottom w:type="dxa" w:w="80"/>
                    <w:right w:type="dxa" w:w="200"/>
                  </w:tcMar>
                </w:tcPr>
                <w:p>
                  <w:pPr>
                    <w:pBdr>
                      <w:bottom w:val="single" w:color="E5E7EB" w:sz="2" w:space="1"/>
                    </w:pBdr>
                    <w:spacing/>
                  </w:pP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Full 6-stage AI council debate</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Unlimited analyses — all asset types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4 timeframes (1D / 1W / 1M / 3M)</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3 analyst personas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20+ technical indicators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Pattern detection (candles + charts)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Options flow, GEX, put/call ratio</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Today's Movers + Tomorrow's Playbook</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Sector top movers — all 11 sectors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Budget screener</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Pre-market daily brief</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Portfolio (up to 10 positions)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Trade journal + AI post-mortems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Options tracking in journal</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Why Is This Moving? (≥2% moves)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Compare mode (2 tickers)</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Track record &amp; performance</w:t>
                  </w:r>
                </w:p>
              </w:tc>
            </w:tr>
            <w:tr>
              <w:tc>
                <w:tcPr>
                  <w:tcW w:type="dxa" w:w="4320"/>
                  <w:tcBorders>
                    <w:top w:val="none" w:color="FFFFFF" w:sz="0"/>
                    <w:left w:val="none" w:color="FFFFFF" w:sz="0"/>
                    <w:bottom w:val="none" w:color="FFFFFF" w:sz="0"/>
                    <w:right w:val="none" w:color="FFFFFF" w:sz="0"/>
                  </w:tcBorders>
                  <w:shd w:fill="F9FAFB" w:val="clear"/>
                  <w:tcMar>
                    <w:top w:type="dxa" w:w="40"/>
                    <w:left w:type="dxa" w:w="200"/>
                    <w:bottom w:type="dxa" w:w="40"/>
                    <w:right w:type="dxa" w:w="200"/>
                  </w:tcMar>
                </w:tcPr>
                <w:p>
                  <w:pPr>
                    <w:spacing/>
                    <w:jc w:val="left"/>
                  </w:pPr>
                  <w:r>
                    <w:rPr>
                      <w:rFonts w:ascii="Arial" w:cs="Arial" w:eastAsia="Arial" w:hAnsi="Arial"/>
                      <w:b/>
                      <w:bCs/>
                      <w:color w:val="059669"/>
                      <w:sz w:val="19"/>
                      <w:szCs w:val="19"/>
                    </w:rPr>
                    <w:t xml:space="preserve">✓  </w:t>
                  </w:r>
                  <w:r>
                    <w:rPr>
                      <w:rFonts w:ascii="Arial" w:cs="Arial" w:eastAsia="Arial" w:hAnsi="Arial"/>
                      <w:color w:val="111827"/>
                      <w:sz w:val="19"/>
                      <w:szCs w:val="19"/>
                    </w:rPr>
                    <w:t xml:space="preserve">Invest Journey &amp; education</w:t>
                  </w:r>
                </w:p>
              </w:tc>
            </w:tr>
            <w:tr>
              <w:tc>
                <w:tcPr>
                  <w:tcW w:type="dxa" w:w="4320"/>
                  <w:tcBorders>
                    <w:top w:val="none" w:color="FFFFFF" w:sz="0"/>
                    <w:left w:val="none" w:color="FFFFFF" w:sz="0"/>
                    <w:bottom w:val="none" w:color="FFFFFF" w:sz="0"/>
                    <w:right w:val="none" w:color="FFFFFF" w:sz="0"/>
                  </w:tcBorders>
                  <w:shd w:fill="F9FAFB" w:val="clear"/>
                  <w:tcMar>
                    <w:top w:type="dxa" w:w="0"/>
                    <w:left w:type="dxa" w:w="200"/>
                    <w:bottom w:type="dxa" w:w="200"/>
                    <w:right w:type="dxa" w:w="200"/>
                  </w:tcMar>
                </w:tcPr>
                <w:p>
                  <w:pPr>
                    <w:spacing/>
                    <w:jc w:val="left"/>
                  </w:pPr>
                  <w:r>
                    <w:rPr>
                      <w:rFonts w:ascii="Arial" w:cs="Arial" w:eastAsia="Arial" w:hAnsi="Arial"/>
                      <w:color w:val="111827"/>
                      <w:sz w:val="22"/>
                      <w:szCs w:val="22"/>
                    </w:rPr>
                    <w:t xml:space="preserve"/>
                  </w:r>
                </w:p>
              </w:tc>
            </w:tr>
          </w:tbl>
          <w:p/>
        </w:tc>
        <w:tc>
          <w:tcPr>
            <w:tcW w:type="dxa" w:w="360"/>
            <w:tcBorders>
              <w:top w:val="none" w:color="FFFFFF" w:sz="0"/>
              <w:left w:val="none" w:color="FFFFFF" w:sz="0"/>
              <w:bottom w:val="none" w:color="FFFFFF" w:sz="0"/>
              <w:right w:val="none" w:color="FFFFFF" w:sz="0"/>
            </w:tcBorders>
          </w:tcPr>
          <w:p>
            <w:pPr>
              <w:spacing w:after="80" w:before="0"/>
              <w:jc w:val="left"/>
            </w:pPr>
            <w:r>
              <w:rPr>
                <w:rFonts w:ascii="Arial" w:cs="Arial" w:eastAsia="Arial" w:hAnsi="Arial"/>
                <w:color w:val="111827"/>
                <w:sz w:val="22"/>
                <w:szCs w:val="22"/>
              </w:rPr>
              <w:t xml:space="preserve"/>
            </w:r>
          </w:p>
        </w:tc>
        <w:tc>
          <w:tcPr>
            <w:tcW w:type="dxa" w:w="4320"/>
            <w:tcBorders>
              <w:top w:val="none" w:color="FFFFFF" w:sz="0"/>
              <w:left w:val="none" w:color="FFFFFF" w:sz="0"/>
              <w:bottom w:val="none" w:color="FFFFFF" w:sz="0"/>
              <w:right w:val="none" w:color="FFFFFF" w:sz="0"/>
            </w:tcBorders>
          </w:tcPr>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none" w:color="FFFFFF" w:sz="0"/>
                    <w:left w:val="none" w:color="FFFFFF" w:sz="0"/>
                    <w:bottom w:val="none" w:color="FFFFFF" w:sz="0"/>
                    <w:right w:val="none" w:color="FFFFFF" w:sz="0"/>
                  </w:tcBorders>
                  <w:shd w:fill="1E1B2E" w:val="clear"/>
                  <w:tcMar>
                    <w:top w:type="dxa" w:w="140"/>
                    <w:left w:type="dxa" w:w="200"/>
                    <w:bottom w:type="dxa" w:w="0"/>
                    <w:right w:type="dxa" w:w="200"/>
                  </w:tcMar>
                </w:tcPr>
                <w:p>
                  <w:pPr>
                    <w:spacing/>
                    <w:jc w:val="center"/>
                  </w:pPr>
                  <w:r>
                    <w:rPr>
                      <w:rFonts w:ascii="Arial" w:cs="Arial" w:eastAsia="Arial" w:hAnsi="Arial"/>
                      <w:b/>
                      <w:bCs/>
                      <w:color w:val="B45309"/>
                      <w:sz w:val="18"/>
                      <w:szCs w:val="18"/>
                    </w:rPr>
                    <w:t xml:space="preserve">⭐  MOST POPULAR</w:t>
                  </w:r>
                </w:p>
              </w:tc>
            </w:tr>
            <w:tr>
              <w:tc>
                <w:tcPr>
                  <w:tcW w:type="dxa" w:w="4320"/>
                  <w:tcBorders>
                    <w:top w:val="none" w:color="FFFFFF" w:sz="0"/>
                    <w:left w:val="none" w:color="FFFFFF" w:sz="0"/>
                    <w:bottom w:val="none" w:color="FFFFFF" w:sz="0"/>
                    <w:right w:val="none" w:color="FFFFFF" w:sz="0"/>
                  </w:tcBorders>
                  <w:shd w:fill="1E1B2E" w:val="clear"/>
                  <w:tcMar>
                    <w:top w:type="dxa" w:w="60"/>
                    <w:left w:type="dxa" w:w="200"/>
                    <w:bottom w:type="dxa" w:w="0"/>
                    <w:right w:type="dxa" w:w="200"/>
                  </w:tcMar>
                </w:tcPr>
                <w:p>
                  <w:pPr>
                    <w:spacing/>
                    <w:jc w:val="center"/>
                  </w:pPr>
                  <w:r>
                    <w:rPr>
                      <w:rFonts w:ascii="Arial" w:cs="Arial" w:eastAsia="Arial" w:hAnsi="Arial"/>
                      <w:b/>
                      <w:bCs/>
                      <w:color w:val="A78BFA"/>
                      <w:sz w:val="32"/>
                      <w:szCs w:val="32"/>
                    </w:rPr>
                    <w:t xml:space="preserve">Pro</w:t>
                  </w:r>
                </w:p>
              </w:tc>
            </w:tr>
            <w:tr>
              <w:tc>
                <w:tcPr>
                  <w:tcW w:type="dxa" w:w="4320"/>
                  <w:tcBorders>
                    <w:top w:val="none" w:color="FFFFFF" w:sz="0"/>
                    <w:left w:val="none" w:color="FFFFFF" w:sz="0"/>
                    <w:bottom w:val="none" w:color="FFFFFF" w:sz="0"/>
                    <w:right w:val="none" w:color="FFFFFF" w:sz="0"/>
                  </w:tcBorders>
                  <w:shd w:fill="1E1B2E" w:val="clear"/>
                  <w:tcMar>
                    <w:top w:type="dxa" w:w="80"/>
                    <w:left w:type="dxa" w:w="200"/>
                    <w:bottom w:type="dxa" w:w="0"/>
                    <w:right w:type="dxa" w:w="200"/>
                  </w:tcMar>
                </w:tcPr>
                <w:p>
                  <w:pPr>
                    <w:spacing/>
                    <w:jc w:val="center"/>
                  </w:pPr>
                  <w:r>
                    <w:rPr>
                      <w:rFonts w:ascii="Arial" w:cs="Arial" w:eastAsia="Arial" w:hAnsi="Arial"/>
                      <w:b/>
                      <w:bCs/>
                      <w:color w:val="FFFFFF"/>
                      <w:sz w:val="56"/>
                      <w:szCs w:val="56"/>
                    </w:rPr>
                    <w:t xml:space="preserve">$49</w:t>
                  </w:r>
                  <w:r>
                    <w:rPr>
                      <w:rFonts w:ascii="Arial" w:cs="Arial" w:eastAsia="Arial" w:hAnsi="Arial"/>
                      <w:color w:val="A78BFA"/>
                      <w:sz w:val="22"/>
                      <w:szCs w:val="22"/>
                    </w:rPr>
                    <w:t xml:space="preserve">/month</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80"/>
                    <w:right w:type="dxa" w:w="200"/>
                  </w:tcMar>
                </w:tcPr>
                <w:p>
                  <w:pPr>
                    <w:spacing/>
                    <w:jc w:val="center"/>
                  </w:pPr>
                  <w:r>
                    <w:rPr>
                      <w:rFonts w:ascii="Arial" w:cs="Arial" w:eastAsia="Arial" w:hAnsi="Arial"/>
                      <w:i/>
                      <w:iCs/>
                      <w:color w:val="A78BFA"/>
                      <w:sz w:val="20"/>
                      <w:szCs w:val="20"/>
                    </w:rPr>
                    <w:t xml:space="preserve">For serious traders who want every edge</w:t>
                  </w:r>
                </w:p>
              </w:tc>
            </w:tr>
            <w:tr>
              <w:tc>
                <w:tcPr>
                  <w:tcW w:type="dxa" w:w="4320"/>
                  <w:tcBorders>
                    <w:top w:val="none" w:color="FFFFFF" w:sz="0"/>
                    <w:left w:val="none" w:color="FFFFFF" w:sz="0"/>
                    <w:bottom w:val="none" w:color="FFFFFF" w:sz="0"/>
                    <w:right w:val="none" w:color="FFFFFF" w:sz="0"/>
                  </w:tcBorders>
                  <w:shd w:fill="1E1B2E" w:val="clear"/>
                  <w:tcMar>
                    <w:top w:type="dxa" w:w="0"/>
                    <w:left w:type="dxa" w:w="200"/>
                    <w:bottom w:type="dxa" w:w="80"/>
                    <w:right w:type="dxa" w:w="200"/>
                  </w:tcMar>
                </w:tcPr>
                <w:p>
                  <w:pPr>
                    <w:pBdr>
                      <w:bottom w:val="single" w:color="4C1D95" w:sz="2" w:space="1"/>
                    </w:pBdr>
                    <w:spacing/>
                  </w:pP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Everything in Standard, plus: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SEC EDGAR verified fundamentals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8-K filing alerts (material events)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Form 4 insider trades (open-market flags)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13-F institutional holdings tracker</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S-1/S-3 dilution risk monitoring</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Congressional trade monitoring (STOCK Act)</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Executive Order analysis (Federal Register)</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Active legislation with market impact</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Macro Intelligence + pattern library</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Unlimited portfolio positions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Position health check with live Greeks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Options health check (Δ θ IV moneyness)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Dividend tracking + DRIP reinvestment</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Portfolio AI analysis (full)</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jc w:val="left"/>
                  </w:pPr>
                  <w:r>
                    <w:rPr>
                      <w:rFonts w:ascii="Arial" w:cs="Arial" w:eastAsia="Arial" w:hAnsi="Arial"/>
                      <w:b/>
                      <w:bCs/>
                      <w:color w:val="A78BFA"/>
                      <w:sz w:val="19"/>
                      <w:szCs w:val="19"/>
                    </w:rPr>
                    <w:t xml:space="preserve">✓  </w:t>
                  </w:r>
                  <w:r>
                    <w:rPr>
                      <w:rFonts w:ascii="Arial" w:cs="Arial" w:eastAsia="Arial" w:hAnsi="Arial"/>
                      <w:color w:val="FFFFFF"/>
                      <w:sz w:val="19"/>
                      <w:szCs w:val="19"/>
                    </w:rPr>
                    <w:t xml:space="preserve">Priority AI model access (Opus 4)</w:t>
                  </w:r>
                </w:p>
              </w:tc>
            </w:tr>
            <w:tr>
              <w:tc>
                <w:tcPr>
                  <w:tcW w:type="dxa" w:w="4320"/>
                  <w:tcBorders>
                    <w:top w:val="none" w:color="FFFFFF" w:sz="0"/>
                    <w:left w:val="none" w:color="FFFFFF" w:sz="0"/>
                    <w:bottom w:val="none" w:color="FFFFFF" w:sz="0"/>
                    <w:right w:val="none" w:color="FFFFFF" w:sz="0"/>
                  </w:tcBorders>
                  <w:shd w:fill="1E1B2E" w:val="clear"/>
                  <w:tcMar>
                    <w:top w:type="dxa" w:w="0"/>
                    <w:left w:type="dxa" w:w="200"/>
                    <w:bottom w:type="dxa" w:w="200"/>
                    <w:right w:type="dxa" w:w="200"/>
                  </w:tcMar>
                </w:tcPr>
                <w:p>
                  <w:pPr>
                    <w:spacing/>
                    <w:jc w:val="left"/>
                  </w:pPr>
                  <w:r>
                    <w:rPr>
                      <w:rFonts w:ascii="Arial" w:cs="Arial" w:eastAsia="Arial" w:hAnsi="Arial"/>
                      <w:color w:val="111827"/>
                      <w:sz w:val="22"/>
                      <w:szCs w:val="22"/>
                    </w:rPr>
                    <w:t xml:space="preserve"/>
                  </w:r>
                </w:p>
              </w:tc>
            </w:tr>
          </w:tbl>
          <w:p/>
        </w:tc>
        <w:tc>
          <w:tcPr>
            <w:tcW w:type="dxa" w:w="360"/>
            <w:tcBorders>
              <w:top w:val="none" w:color="FFFFFF" w:sz="0"/>
              <w:left w:val="none" w:color="FFFFFF" w:sz="0"/>
              <w:bottom w:val="none" w:color="FFFFFF" w:sz="0"/>
              <w:right w:val="none" w:color="FFFFFF" w:sz="0"/>
            </w:tcBorders>
          </w:tcPr>
          <w:p>
            <w:pPr>
              <w:spacing w:after="80" w:before="0"/>
              <w:jc w:val="left"/>
            </w:pPr>
            <w:r>
              <w:rPr>
                <w:rFonts w:ascii="Arial" w:cs="Arial" w:eastAsia="Arial" w:hAnsi="Arial"/>
                <w:color w:val="111827"/>
                <w:sz w:val="22"/>
                <w:szCs w:val="22"/>
              </w:rPr>
              <w:t xml:space="preserve"/>
            </w:r>
          </w:p>
        </w:tc>
      </w:tr>
    </w:tbl>
    <w:p>
      <w:pPr>
        <w:spacing/>
        <w:jc w:val="left"/>
      </w:pPr>
      <w:r>
        <w:rPr>
          <w:rFonts w:ascii="Arial" w:cs="Arial" w:eastAsia="Arial" w:hAnsi="Arial"/>
          <w:sz w:val="22"/>
          <w:szCs w:val="22"/>
        </w:rPr>
        <w:t xml:space="preserve">💡  </w:t>
      </w:r>
      <w:r>
        <w:rPr>
          <w:rFonts w:ascii="Arial" w:cs="Arial" w:eastAsia="Arial" w:hAnsi="Arial"/>
          <w:b/>
          <w:bCs/>
          <w:color w:val="7C3AED"/>
          <w:sz w:val="22"/>
          <w:szCs w:val="22"/>
        </w:rPr>
        <w:t xml:space="preserve">7-day free trial </w:t>
      </w:r>
      <w:r>
        <w:rPr>
          <w:rFonts w:ascii="Arial" w:cs="Arial" w:eastAsia="Arial" w:hAnsi="Arial"/>
          <w:color w:val="111827"/>
          <w:sz w:val="22"/>
          <w:szCs w:val="22"/>
        </w:rPr>
        <w:t xml:space="preserve">with full Pro access. No credit card required.  ·  </w:t>
      </w:r>
      <w:r>
        <w:rPr>
          <w:rFonts w:ascii="Arial" w:cs="Arial" w:eastAsia="Arial" w:hAnsi="Arial"/>
          <w:b/>
          <w:bCs/>
          <w:color w:val="7C3AED"/>
          <w:sz w:val="22"/>
          <w:szCs w:val="22"/>
        </w:rPr>
        <w:t xml:space="preserve">Annual plans: </w:t>
      </w:r>
      <w:r>
        <w:rPr>
          <w:rFonts w:ascii="Arial" w:cs="Arial" w:eastAsia="Arial" w:hAnsi="Arial"/>
          <w:color w:val="111827"/>
          <w:sz w:val="22"/>
          <w:szCs w:val="22"/>
        </w:rPr>
        <w:t xml:space="preserve">Standard $290/yr (save $58)  ·  Pro $490/yr (save $98)  ·  Contact us for team pricing.</w:t>
      </w:r>
    </w:p>
    <w:p>
      <w:r>
        <w:br w:type="page"/>
      </w:r>
    </w:p>
    <w:p>
      <w:pPr>
        <w:spacing w:after="120" w:before="0"/>
      </w:pPr>
      <w:r>
        <w:rPr>
          <w:rFonts w:ascii="Arial" w:cs="Arial" w:eastAsia="Arial" w:hAnsi="Arial"/>
          <w:b/>
          <w:bCs/>
          <w:caps/>
          <w:color w:val="7C3AED"/>
          <w:sz w:val="20"/>
          <w:szCs w:val="20"/>
        </w:rPr>
        <w:t xml:space="preserve">COMPLETE FEATURE COMPARISON</w:t>
      </w:r>
    </w:p>
    <w:p>
      <w:pPr>
        <w:spacing/>
        <w:jc w:val="left"/>
      </w:pPr>
      <w:r>
        <w:rPr>
          <w:rFonts w:ascii="Arial" w:cs="Arial" w:eastAsia="Arial" w:hAnsi="Arial"/>
          <w:color w:val="6B7280"/>
          <w:sz w:val="18"/>
          <w:szCs w:val="18"/>
        </w:rPr>
        <w:t xml:space="preserve">✓ = included  ◑ = partial/limited  — = not included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440"/>
        <w:gridCol w:w="1520"/>
        <w:gridCol w:w="1580"/>
        <w:gridCol w:w="1580"/>
      </w:tblGrid>
      <w:tr>
        <w:tc>
          <w:tcPr>
            <w:tcW w:type="dxa" w:w="444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Feature / Capability</w:t>
            </w:r>
          </w:p>
        </w:tc>
        <w:tc>
          <w:tcPr>
            <w:tcW w:type="dxa" w:w="152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Trial
7 days</w:t>
            </w:r>
          </w:p>
        </w:tc>
        <w:tc>
          <w:tcPr>
            <w:tcW w:type="dxa" w:w="158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Standard
$29/mo</w:t>
            </w:r>
          </w:p>
        </w:tc>
        <w:tc>
          <w:tcPr>
            <w:tcW w:type="dxa" w:w="158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Pro
$49/mo</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AI ANALYSIS ENGINE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6-stage adversarial AI debate pipeline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News Scout → Lead Analyst → Devil's Advocate → Rebuttal → Counter → Judge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Real-time News Scout research mid-debate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4 timeframes: 1D / 1W / 1M / 3M</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3 analyst personas</w:t>
            </w:r>
            <w:r>
              <w:rPr>
                <w:rFonts w:ascii="Arial" w:cs="Arial" w:eastAsia="Arial" w:hAnsi="Arial"/>
                <w:color w:val="6B7280"/>
                <w:sz w:val="17"/>
                <w:szCs w:val="17"/>
              </w:rPr>
              <w:t xml:space="preserve">  balanced, technical-biased, fundamental-biased</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Streaming live analysis (stage-by-stage)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Analysis caching (60–120 min)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Final verdict with entry, stop, take profit</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Conviction score 0–100</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3 scenarios (Bull / Base / Bear with probability)</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Invalidation trigger — when thesis is wrong</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Plain-English verdict for beginners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Technicals explained in plain English</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Fundamentals explained in plain English</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Smart money explained in plain English</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Step-by-step action plan at specific price levels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Options strategy recommendation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ASSET SUPPORT</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US Stocks — NYSE / NASDAQ / AMEX</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Cryptocurrency — BTC, ETH, SOL and major coins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Forex — major currency pairs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Options — analysis, strategy, IV context</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TECHNICAL ANALYSIS (20+ INDICATORS)</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SMA 20, 50, 200 with Golden Cross detection</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EMA 9, 20, 12, 26 with EMA crossover signal</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MACD — line, signal, histogram, divergence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RSI 14 with overbought/oversold zones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Bollinger Bands — width and squeeze detection</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ATR 14 — in dollars and as % of price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Williams %R momentum oscillator</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CCI 20 — commodity channel index</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OBV — on-balance volume divergence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VWAP with above/below signal</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Ichimoku Cloud — full (5 lines)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Fibonacci retracements — auto swing detection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Golden Zone Fibonacci (61.8–88.6%)</w:t>
            </w:r>
            <w:r>
              <w:rPr>
                <w:rFonts w:ascii="Arial" w:cs="Arial" w:eastAsia="Arial" w:hAnsi="Arial"/>
                <w:color w:val="6B7280"/>
                <w:sz w:val="17"/>
                <w:szCs w:val="17"/>
              </w:rPr>
              <w:t xml:space="preserve">  live alert when price is in zone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Support &amp; resistance levels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Candlestick pattern detection</w:t>
            </w:r>
            <w:r>
              <w:rPr>
                <w:rFonts w:ascii="Arial" w:cs="Arial" w:eastAsia="Arial" w:hAnsi="Arial"/>
                <w:color w:val="6B7280"/>
                <w:sz w:val="17"/>
                <w:szCs w:val="17"/>
              </w:rPr>
              <w:t xml:space="preserve">  doji, hammer, engulfing, shooting star, etc.</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Chart pattern detection</w:t>
            </w:r>
            <w:r>
              <w:rPr>
                <w:rFonts w:ascii="Arial" w:cs="Arial" w:eastAsia="Arial" w:hAnsi="Arial"/>
                <w:color w:val="6B7280"/>
                <w:sz w:val="17"/>
                <w:szCs w:val="17"/>
              </w:rPr>
              <w:t xml:space="preserve">  H&amp;S, double top/bottom, wedge, triangle, cup</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Gap detection with support/resistance role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Conviction engine — weighted signal scoring</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Relative strength vs sector ETF</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FUNDAMENTAL DATA</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Revenue, EPS, net income, operating income (TTM)</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Gross profit, R&amp;D, cash, debt, shares outstanding</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P/E ratio, profit margin, book value per share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Revenue YoY / EPS YoY / earnings growth trends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Analyst consensus, price target, ratings breakdown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Earnings calendar — date, EPS estimate, revenue est.</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Earnings surprise history</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Earnings implied move vs historical (vol edge)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Insider transactions from Finnhub</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SEC EDGAR XBRL verified fundamentals</w:t>
            </w:r>
            <w:r>
              <w:rPr>
                <w:rFonts w:ascii="Arial" w:cs="Arial" w:eastAsia="Arial" w:hAnsi="Arial"/>
                <w:color w:val="6B7280"/>
                <w:sz w:val="17"/>
                <w:szCs w:val="17"/>
              </w:rPr>
              <w:t xml:space="preserve">  direct from 10-Q/10-K, not aggregated</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Earnings trend signal — accelerating/decelerating</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OPTIONS FLOW &amp; SMART MONEY</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Put/call ratio</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GEX (Gamma Exposure) — pinning vs accelerating</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Max pain strike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IV rank and implied volatility</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Short interest %</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Unusual options activity</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Institutional flow via ETF tracking</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Congressional trading signals (aggregated)</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SEC FILING INTELLIGENCE  (PRO ONLY)</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8-K material event alerts</w:t>
            </w:r>
            <w:r>
              <w:rPr>
                <w:rFonts w:ascii="Arial" w:cs="Arial" w:eastAsia="Arial" w:hAnsi="Arial"/>
                <w:color w:val="6B7280"/>
                <w:sz w:val="17"/>
                <w:szCs w:val="17"/>
              </w:rPr>
              <w:t xml:space="preserve">  earnings releases, M&amp;A, CEO changes, lawsuits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Form 4 insider trades — open-market flags</w:t>
            </w:r>
            <w:r>
              <w:rPr>
                <w:rFonts w:ascii="Arial" w:cs="Arial" w:eastAsia="Arial" w:hAnsi="Arial"/>
                <w:color w:val="6B7280"/>
                <w:sz w:val="17"/>
                <w:szCs w:val="17"/>
              </w:rPr>
              <w:t xml:space="preserve">  actual dollar amounts + disclosure lag days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13-F institutional holdings tracker</w:t>
            </w:r>
            <w:r>
              <w:rPr>
                <w:rFonts w:ascii="Arial" w:cs="Arial" w:eastAsia="Arial" w:hAnsi="Arial"/>
                <w:color w:val="6B7280"/>
                <w:sz w:val="17"/>
                <w:szCs w:val="17"/>
              </w:rPr>
              <w:t xml:space="preserve">  Berkshire, Vanguard, BlackRock, ARK, Renaissance + more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S-1 / S-3 / 424B4 dilution risk monitoring</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DEF 14A proxy statements logged</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LEGISLATIVE &amp; REGULATORY INTELLIGENCE  (PRO ONLY)</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Active Congress bills with market implications</w:t>
            </w:r>
            <w:r>
              <w:rPr>
                <w:rFonts w:ascii="Arial" w:cs="Arial" w:eastAsia="Arial" w:hAnsi="Arial"/>
                <w:color w:val="6B7280"/>
                <w:sz w:val="17"/>
                <w:szCs w:val="17"/>
              </w:rPr>
              <w:t xml:space="preserve">  tracked by committee stage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Executive Order analysis</w:t>
            </w:r>
            <w:r>
              <w:rPr>
                <w:rFonts w:ascii="Arial" w:cs="Arial" w:eastAsia="Arial" w:hAnsi="Arial"/>
                <w:color w:val="6B7280"/>
                <w:sz w:val="17"/>
                <w:szCs w:val="17"/>
              </w:rPr>
              <w:t xml:space="preserve">  Federal Register, within hours of signing</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Significant agency rule changes</w:t>
            </w:r>
            <w:r>
              <w:rPr>
                <w:rFonts w:ascii="Arial" w:cs="Arial" w:eastAsia="Arial" w:hAnsi="Arial"/>
                <w:color w:val="6B7280"/>
                <w:sz w:val="17"/>
                <w:szCs w:val="17"/>
              </w:rPr>
              <w:t xml:space="preserve">  SEC, FTC, FDA, Commerce, Energy, DoD</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STOCK Act congressional trades — verified</w:t>
            </w:r>
            <w:r>
              <w:rPr>
                <w:rFonts w:ascii="Arial" w:cs="Arial" w:eastAsia="Arial" w:hAnsi="Arial"/>
                <w:color w:val="6B7280"/>
                <w:sz w:val="17"/>
                <w:szCs w:val="17"/>
              </w:rPr>
              <w:t xml:space="preserve">  dollar ranges, disclosure lag, spouse trade flags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Macro Intelligence engine</w:t>
            </w:r>
            <w:r>
              <w:rPr>
                <w:rFonts w:ascii="Arial" w:cs="Arial" w:eastAsia="Arial" w:hAnsi="Arial"/>
                <w:color w:val="6B7280"/>
                <w:sz w:val="17"/>
                <w:szCs w:val="17"/>
              </w:rPr>
              <w:t xml:space="preserve">  geopolitical events, historical pattern library</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Active macro themes injected into council debate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TODAY'S MOVERS &amp; TOMORROW'S PLAYBOOK</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Top bullish movers with catalyst + magnitude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Top bearish movers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Watchlist — stocks to monitor today</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Market theme of the day</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Crypto alert</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Sector top 10 movers — all 11 sectors live</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Pre-market daily brief (4–10am)</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Next-day outlook + opening bell playbook</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Earnings calendar with implied moves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Economic events (Fed, CPI, jobs reports)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AI sector setups for next session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MACRO DASHBOARD</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All 11 sector ETFs — 1D/5D change, RSI, signal</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Market breadth (advancing vs declining sectors)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Smart money cross-asset flows</w:t>
            </w:r>
            <w:r>
              <w:rPr>
                <w:rFonts w:ascii="Arial" w:cs="Arial" w:eastAsia="Arial" w:hAnsi="Arial"/>
                <w:color w:val="6B7280"/>
                <w:sz w:val="17"/>
                <w:szCs w:val="17"/>
              </w:rPr>
              <w:t xml:space="preserve">  TLT, GLD, DXY, VIX proxies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Market regime assessment</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Active macro themes with historical playbooks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SPECIAL FEATURES</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Why Is This Moving?</w:t>
            </w:r>
            <w:r>
              <w:rPr>
                <w:rFonts w:ascii="Arial" w:cs="Arial" w:eastAsia="Arial" w:hAnsi="Arial"/>
                <w:color w:val="6B7280"/>
                <w:sz w:val="17"/>
                <w:szCs w:val="17"/>
              </w:rPr>
              <w:t xml:space="preserve">  auto-appears on ≥2% moves — Gemini catalyst + verdict</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Compare mode — 2 tickers head-to-head</w:t>
            </w:r>
            <w:r>
              <w:rPr>
                <w:rFonts w:ascii="Arial" w:cs="Arial" w:eastAsia="Arial" w:hAnsi="Arial"/>
                <w:color w:val="6B7280"/>
                <w:sz w:val="17"/>
                <w:szCs w:val="17"/>
              </w:rPr>
              <w:t xml:space="preserve">  full 6-stage debate on both simultaneously</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Budget Screener — picks within your max budget</w:t>
            </w:r>
            <w:r>
              <w:rPr>
                <w:rFonts w:ascii="Arial" w:cs="Arial" w:eastAsia="Arial" w:hAnsi="Arial"/>
                <w:color w:val="6B7280"/>
                <w:sz w:val="17"/>
                <w:szCs w:val="17"/>
              </w:rPr>
              <w:t xml:space="preserve">  stocks or options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Budget screener full technical scoring</w:t>
            </w:r>
            <w:r>
              <w:rPr>
                <w:rFonts w:ascii="Arial" w:cs="Arial" w:eastAsia="Arial" w:hAnsi="Arial"/>
                <w:color w:val="6B7280"/>
                <w:sz w:val="17"/>
                <w:szCs w:val="17"/>
              </w:rPr>
              <w:t xml:space="preserve">  RSI, volume ratio, 52w position, SMA trend</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Track Record — personal verdict history</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Invest Journey — goal tracking + milestones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Interactive tutorial system per page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PORTFOLIO — HOLDINGS TAB</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Add stock positions (shares, avg cost)</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Add option positions (call/put, strike, expiry, premium)</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Max portfolio positions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111827"/>
                <w:sz w:val="20"/>
                <w:szCs w:val="20"/>
              </w:rPr>
              <w:t xml:space="preserve">Unlimited</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111827"/>
                <w:sz w:val="20"/>
                <w:szCs w:val="20"/>
              </w:rPr>
              <w:t xml:space="preserve">10</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111827"/>
                <w:sz w:val="20"/>
                <w:szCs w:val="20"/>
              </w:rPr>
              <w:t xml:space="preserve">Unlimited</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Live P&amp;L per position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Signal badge from last analysis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Earnings warning flag (⚡ earnings Xd)</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Options expiry countdown with urgency flag</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Portfolio-level metrics (total value, P&amp;L, return)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AI Portfolio Analysis — full</w:t>
            </w:r>
            <w:r>
              <w:rPr>
                <w:rFonts w:ascii="Arial" w:cs="Arial" w:eastAsia="Arial" w:hAnsi="Arial"/>
                <w:color w:val="6B7280"/>
                <w:sz w:val="17"/>
                <w:szCs w:val="17"/>
              </w:rPr>
              <w:t xml:space="preserve">  concentration risk, earnings watch, rebalancing</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 Health Check — HOLD/EXIT/WATCH/ADD per position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Health check for stocks — RSI, volume, stop/target</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Health check for options — live Greeks from Tradier</w:t>
            </w:r>
            <w:r>
              <w:rPr>
                <w:rFonts w:ascii="Arial" w:cs="Arial" w:eastAsia="Arial" w:hAnsi="Arial"/>
                <w:color w:val="6B7280"/>
                <w:sz w:val="17"/>
                <w:szCs w:val="17"/>
              </w:rPr>
              <w:t xml:space="preserve">  Δ θ γ ν IV moneyness breakeven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PORTFOLIO — TRADE JOURNAL TAB</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Auto-log from council verdict</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Manual entry for stocks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Manual entry for options</w:t>
            </w:r>
            <w:r>
              <w:rPr>
                <w:rFonts w:ascii="Arial" w:cs="Arial" w:eastAsia="Arial" w:hAnsi="Arial"/>
                <w:color w:val="6B7280"/>
                <w:sz w:val="17"/>
                <w:szCs w:val="17"/>
              </w:rPr>
              <w:t xml:space="preserve">  call/put, strike, expiry, contracts, premium</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Total cost preview while entering options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Pending / Win / Loss / Breakeven outcomes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Resolve stock trade — exit price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Resolve option trade — exit premium</w:t>
            </w:r>
            <w:r>
              <w:rPr>
                <w:rFonts w:ascii="Arial" w:cs="Arial" w:eastAsia="Arial" w:hAnsi="Arial"/>
                <w:color w:val="6B7280"/>
                <w:sz w:val="17"/>
                <w:szCs w:val="17"/>
              </w:rPr>
              <w:t xml:space="preserve">  live P&amp;L % on premium shown</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AI post-mortem on resolution</w:t>
            </w:r>
            <w:r>
              <w:rPr>
                <w:rFonts w:ascii="Arial" w:cs="Arial" w:eastAsia="Arial" w:hAnsi="Arial"/>
                <w:color w:val="6B7280"/>
                <w:sz w:val="17"/>
                <w:szCs w:val="17"/>
              </w:rPr>
              <w:t xml:space="preserve">  what worked, what missed, key lesson, grade A–D</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Council grade (A / B / C / D)</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Holdings sync chips — coverage status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Journal stats — win rate, avg P&amp;L, trade count</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PORTFOLIO — REINVEST &amp; DIVIDENDS TABS</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Reinvestment trade tracking</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Open / closed trade status + realized P&amp;L</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Holdings sync chips — one-tap prefill</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Dividend income tracking</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Log dividends with ex-date and pay-date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Auto-fill shares from holdings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b/>
                <w:bCs/>
                <w:color w:val="111827"/>
                <w:sz w:val="20"/>
                <w:szCs w:val="20"/>
              </w:rPr>
              <w:t xml:space="preserve">Mark dividends as reinvested</w:t>
            </w:r>
            <w:r>
              <w:rPr>
                <w:rFonts w:ascii="Arial" w:cs="Arial" w:eastAsia="Arial" w:hAnsi="Arial"/>
                <w:color w:val="6B7280"/>
                <w:sz w:val="17"/>
                <w:szCs w:val="17"/>
              </w:rPr>
              <w:t xml:space="preserve">  records ticker, shares, price</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Total received vs reinvested summary</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val="false"/>
                <w:bCs w:val="false"/>
                <w:color w:val="D1D5DB"/>
                <w:sz w:val="20"/>
                <w:szCs w:val="20"/>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9360"/>
            <w:gridSpan w:val="4"/>
            <w:tcBorders>
              <w:top w:val="single" w:color="2E1065" w:sz="1"/>
              <w:left w:val="single" w:color="2E1065" w:sz="1"/>
              <w:bottom w:val="single" w:color="2E1065" w:sz="1"/>
              <w:right w:val="single" w:color="2E1065" w:sz="1"/>
            </w:tcBorders>
            <w:shd w:fill="DDD6FE" w:val="clear"/>
            <w:tcMar>
              <w:top w:type="dxa" w:w="80"/>
              <w:left w:type="dxa" w:w="140"/>
              <w:bottom w:type="dxa" w:w="80"/>
              <w:right w:type="dxa" w:w="140"/>
            </w:tcMar>
          </w:tcPr>
          <w:p>
            <w:pPr>
              <w:spacing/>
              <w:jc w:val="left"/>
            </w:pPr>
            <w:r>
              <w:rPr>
                <w:rFonts w:ascii="Arial" w:cs="Arial" w:eastAsia="Arial" w:hAnsi="Arial"/>
                <w:b/>
                <w:bCs/>
                <w:color w:val="2E1065"/>
                <w:sz w:val="19"/>
                <w:szCs w:val="19"/>
              </w:rPr>
              <w:t xml:space="preserve">🖥️  PLATFORM &amp; ACCOUNT</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Mobile-first responsive design</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Dark theme throughout</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Streaming AI (live stage-by-stage updates)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Email alerts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Optional SMS alerts</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No ads</w:t>
            </w:r>
          </w:p>
        </w:tc>
        <w:tc>
          <w:tcPr>
            <w:tcW w:type="dxa" w:w="152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r>
        <w:tc>
          <w:tcPr>
            <w:tcW w:type="dxa" w:w="444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jc w:val="left"/>
            </w:pPr>
            <w:r>
              <w:rPr>
                <w:rFonts w:ascii="Arial" w:cs="Arial" w:eastAsia="Arial" w:hAnsi="Arial"/>
                <w:color w:val="111827"/>
                <w:sz w:val="20"/>
                <w:szCs w:val="20"/>
              </w:rPr>
              <w:t xml:space="preserve">No data selling</w:t>
            </w:r>
          </w:p>
        </w:tc>
        <w:tc>
          <w:tcPr>
            <w:tcW w:type="dxa" w:w="152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8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90"/>
              <w:left w:type="dxa" w:w="60"/>
              <w:bottom w:type="dxa" w:w="90"/>
              <w:right w:type="dxa" w:w="60"/>
            </w:tcMar>
            <w:vAlign w:val="center"/>
          </w:tcPr>
          <w:p>
            <w:pPr>
              <w:spacing/>
              <w:jc w:val="center"/>
            </w:pPr>
            <w:r>
              <w:rPr>
                <w:rFonts w:ascii="Arial" w:cs="Arial" w:eastAsia="Arial" w:hAnsi="Arial"/>
                <w:b/>
                <w:bCs/>
                <w:color w:val="059669"/>
                <w:sz w:val="22"/>
                <w:szCs w:val="22"/>
              </w:rPr>
              <w:t xml:space="preserve">✓</w:t>
            </w:r>
          </w:p>
        </w:tc>
      </w:tr>
    </w:tbl>
    <w:p>
      <w:r>
        <w:br w:type="page"/>
      </w:r>
    </w:p>
    <w:p>
      <w:pPr>
        <w:spacing w:after="120" w:before="0"/>
      </w:pPr>
      <w:r>
        <w:rPr>
          <w:rFonts w:ascii="Arial" w:cs="Arial" w:eastAsia="Arial" w:hAnsi="Arial"/>
          <w:b/>
          <w:bCs/>
          <w:caps/>
          <w:color w:val="7C3AED"/>
          <w:sz w:val="20"/>
          <w:szCs w:val="20"/>
        </w:rPr>
        <w:t xml:space="preserve">DATA SOURCES — WHAT FEEDS THE COUNCIL</w:t>
      </w:r>
    </w:p>
    <w:p>
      <w:pPr>
        <w:spacing/>
        <w:jc w:val="left"/>
      </w:pPr>
      <w:r>
        <w:rPr>
          <w:rFonts w:ascii="Arial" w:cs="Arial" w:eastAsia="Arial" w:hAnsi="Arial"/>
          <w:color w:val="6B7280"/>
          <w:sz w:val="20"/>
          <w:szCs w:val="20"/>
        </w:rPr>
        <w:t xml:space="preserve">Every verdict is grounded in authoritative, real-time data from primary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Source</w:t>
            </w:r>
          </w:p>
        </w:tc>
        <w:tc>
          <w:tcPr>
            <w:tcW w:type="dxa" w:w="726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What It Provides</w:t>
            </w:r>
          </w:p>
        </w:tc>
      </w:tr>
      <w:tr>
        <w:tc>
          <w:tcPr>
            <w:tcW w:type="dxa" w:w="21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SEC EDGAR XBRL</w:t>
            </w:r>
          </w:p>
        </w:tc>
        <w:tc>
          <w:tcPr>
            <w:tcW w:type="dxa" w:w="72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Revenue, EPS, debt, cash, owner earnings — verified directly from 10-Q/10-K filings. 90-day cache. Same source institutional analysts use.</w:t>
            </w:r>
          </w:p>
        </w:tc>
      </w:tr>
      <w:tr>
        <w:tc>
          <w:tcPr>
            <w:tcW w:type="dxa" w:w="21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Alpaca Markets</w:t>
            </w:r>
          </w:p>
        </w:tc>
        <w:tc>
          <w:tcPr>
            <w:tcW w:type="dxa" w:w="72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Real-time and historical bar data (OHLCV), volume, pre/post-market quotes for all US equities.</w:t>
            </w:r>
          </w:p>
        </w:tc>
      </w:tr>
      <w:tr>
        <w:tc>
          <w:tcPr>
            <w:tcW w:type="dxa" w:w="21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Finnhub</w:t>
            </w:r>
          </w:p>
        </w:tc>
        <w:tc>
          <w:tcPr>
            <w:tcW w:type="dxa" w:w="72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Earnings calendar, analyst targets, company metrics, sector data, RSI/indicator calculations, insider transactions.</w:t>
            </w:r>
          </w:p>
        </w:tc>
      </w:tr>
      <w:tr>
        <w:tc>
          <w:tcPr>
            <w:tcW w:type="dxa" w:w="21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Tradier</w:t>
            </w:r>
          </w:p>
        </w:tc>
        <w:tc>
          <w:tcPr>
            <w:tcW w:type="dxa" w:w="72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Live options chain with full Greeks (delta, theta, gamma, vega, IV) for health check and options flow analysis.</w:t>
            </w:r>
          </w:p>
        </w:tc>
      </w:tr>
      <w:tr>
        <w:tc>
          <w:tcPr>
            <w:tcW w:type="dxa" w:w="21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Congress.gov</w:t>
            </w:r>
          </w:p>
        </w:tc>
        <w:tc>
          <w:tcPr>
            <w:tcW w:type="dxa" w:w="72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Bills with market implications tracked through committee stages. Free API, 5,000 req/day.</w:t>
            </w:r>
          </w:p>
        </w:tc>
      </w:tr>
      <w:tr>
        <w:tc>
          <w:tcPr>
            <w:tcW w:type="dxa" w:w="21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Federal Register API</w:t>
            </w:r>
          </w:p>
        </w:tc>
        <w:tc>
          <w:tcPr>
            <w:tcW w:type="dxa" w:w="72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Executive Orders, agency rules, proclamations — published within hours of signing. No API key required.</w:t>
            </w:r>
          </w:p>
        </w:tc>
      </w:tr>
      <w:tr>
        <w:tc>
          <w:tcPr>
            <w:tcW w:type="dxa" w:w="21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House/Senate Disclosures</w:t>
            </w:r>
          </w:p>
        </w:tc>
        <w:tc>
          <w:tcPr>
            <w:tcW w:type="dxa" w:w="72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STOCK Act congressional trades verified from official House XML. Dollar ranges, disclosure lag, spouse trade flags.</w:t>
            </w:r>
          </w:p>
        </w:tc>
      </w:tr>
      <w:tr>
        <w:tc>
          <w:tcPr>
            <w:tcW w:type="dxa" w:w="21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CoinGecko</w:t>
            </w:r>
          </w:p>
        </w:tc>
        <w:tc>
          <w:tcPr>
            <w:tcW w:type="dxa" w:w="72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Cryptocurrency pricing, market cap, volume, and metadata for all major coins.</w:t>
            </w:r>
          </w:p>
        </w:tc>
      </w:tr>
      <w:tr>
        <w:tc>
          <w:tcPr>
            <w:tcW w:type="dxa" w:w="21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SEC EDGAR Filings</w:t>
            </w:r>
          </w:p>
        </w:tc>
        <w:tc>
          <w:tcPr>
            <w:tcW w:type="dxa" w:w="72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8-K alerts, Form 4 insider trades, 13-F institutional holdings, S-1/S-3 dilution filings. Free, no API key.</w:t>
            </w:r>
          </w:p>
        </w:tc>
      </w:tr>
    </w:tbl>
    <w:p>
      <w:pPr>
        <w:pBdr>
          <w:bottom w:val="single" w:color="E5E7EB" w:sz="3" w:space="1"/>
        </w:pBdr>
        <w:spacing w:after="200" w:before="240"/>
      </w:pPr>
    </w:p>
    <w:p>
      <w:pPr>
        <w:spacing w:after="120" w:before="300"/>
      </w:pPr>
      <w:r>
        <w:rPr>
          <w:rFonts w:ascii="Arial" w:cs="Arial" w:eastAsia="Arial" w:hAnsi="Arial"/>
          <w:b/>
          <w:bCs/>
          <w:caps/>
          <w:color w:val="7C3AED"/>
          <w:sz w:val="20"/>
          <w:szCs w:val="20"/>
        </w:rPr>
        <w:t xml:space="preserve">COMPETITIVE VALUE</w:t>
      </w:r>
    </w:p>
    <w:p>
      <w:pPr>
        <w:spacing/>
        <w:jc w:val="left"/>
      </w:pPr>
      <w:r>
        <w:rPr>
          <w:rFonts w:ascii="Arial" w:cs="Arial" w:eastAsia="Arial" w:hAnsi="Arial"/>
          <w:color w:val="6B7280"/>
          <w:sz w:val="20"/>
          <w:szCs w:val="20"/>
        </w:rPr>
        <w:t xml:space="preserve">What you'd pay to replicate Wali-OS Pro capabilities with separate retail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Capability</w:t>
            </w:r>
          </w:p>
        </w:tc>
        <w:tc>
          <w:tcPr>
            <w:tcW w:type="dxa" w:w="280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Retail Tool</w:t>
            </w:r>
          </w:p>
        </w:tc>
        <w:tc>
          <w:tcPr>
            <w:tcW w:type="dxa" w:w="2960"/>
            <w:tcBorders>
              <w:top w:val="single" w:color="2E1065" w:sz="1"/>
              <w:left w:val="single" w:color="2E1065" w:sz="1"/>
              <w:bottom w:val="single" w:color="2E1065" w:sz="1"/>
              <w:right w:val="single" w:color="2E1065" w:sz="1"/>
            </w:tcBorders>
            <w:shd w:fill="2E1065" w:val="clear"/>
            <w:tcMar>
              <w:top w:type="dxa" w:w="100"/>
              <w:left w:type="dxa" w:w="140"/>
              <w:bottom w:type="dxa" w:w="100"/>
              <w:right w:type="dxa" w:w="140"/>
            </w:tcMar>
            <w:vAlign w:val="center"/>
          </w:tcPr>
          <w:p>
            <w:pPr>
              <w:spacing/>
              <w:jc w:val="left"/>
            </w:pPr>
            <w:r>
              <w:rPr>
                <w:rFonts w:ascii="Arial" w:cs="Arial" w:eastAsia="Arial" w:hAnsi="Arial"/>
                <w:b/>
                <w:bCs/>
                <w:color w:val="FFFFFF"/>
                <w:sz w:val="20"/>
                <w:szCs w:val="20"/>
              </w:rPr>
              <w:t xml:space="preserve">Monthly Cost</w:t>
            </w:r>
          </w:p>
        </w:tc>
      </w:tr>
      <w:tr>
        <w:tc>
          <w:tcPr>
            <w:tcW w:type="dxa" w:w="360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AI analysis platform</w:t>
            </w:r>
          </w:p>
        </w:tc>
        <w:tc>
          <w:tcPr>
            <w:tcW w:type="dxa" w:w="280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Trade Ideas / Tickeron</w:t>
            </w:r>
          </w:p>
        </w:tc>
        <w:tc>
          <w:tcPr>
            <w:tcW w:type="dxa" w:w="296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DC2626"/>
                <w:sz w:val="20"/>
                <w:szCs w:val="20"/>
              </w:rPr>
              <w:t xml:space="preserve">$99–$179/mo</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Options flow &amp; Greeks</w:t>
            </w:r>
          </w:p>
        </w:tc>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Market Chameleon / Unusual Whales</w:t>
            </w:r>
          </w:p>
        </w:tc>
        <w:tc>
          <w:tcPr>
            <w:tcW w:type="dxa" w:w="2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DC2626"/>
                <w:sz w:val="20"/>
                <w:szCs w:val="20"/>
              </w:rPr>
              <w:t xml:space="preserve">$47–$97/mo</w:t>
            </w:r>
          </w:p>
        </w:tc>
      </w:tr>
      <w:tr>
        <w:tc>
          <w:tcPr>
            <w:tcW w:type="dxa" w:w="360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Legislative intelligence</w:t>
            </w:r>
          </w:p>
        </w:tc>
        <w:tc>
          <w:tcPr>
            <w:tcW w:type="dxa" w:w="280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Bloomberg Government / Politico Pro</w:t>
            </w:r>
          </w:p>
        </w:tc>
        <w:tc>
          <w:tcPr>
            <w:tcW w:type="dxa" w:w="296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DC2626"/>
                <w:sz w:val="20"/>
                <w:szCs w:val="20"/>
              </w:rPr>
              <w:t xml:space="preserve">$300+/mo</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SEC filing alerts (institutional)</w:t>
            </w:r>
          </w:p>
        </w:tc>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Sentieo / AlphaSense</w:t>
            </w:r>
          </w:p>
        </w:tc>
        <w:tc>
          <w:tcPr>
            <w:tcW w:type="dxa" w:w="2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DC2626"/>
                <w:sz w:val="20"/>
                <w:szCs w:val="20"/>
              </w:rPr>
              <w:t xml:space="preserve">$200+/mo</w:t>
            </w:r>
          </w:p>
        </w:tc>
      </w:tr>
      <w:tr>
        <w:tc>
          <w:tcPr>
            <w:tcW w:type="dxa" w:w="360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Congressional trade tracking</w:t>
            </w:r>
          </w:p>
        </w:tc>
        <w:tc>
          <w:tcPr>
            <w:tcW w:type="dxa" w:w="280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Quiver Quantitative</w:t>
            </w:r>
          </w:p>
        </w:tc>
        <w:tc>
          <w:tcPr>
            <w:tcW w:type="dxa" w:w="2960"/>
            <w:tcBorders>
              <w:top w:val="single" w:color="E5E7EB" w:sz="1"/>
              <w:left w:val="single" w:color="E5E7EB" w:sz="1"/>
              <w:bottom w:val="single" w:color="E5E7EB" w:sz="1"/>
              <w:right w:val="single" w:color="E5E7EB" w:sz="1"/>
            </w:tcBorders>
            <w:shd w:fill="F9FAFB" w:val="clear"/>
            <w:tcMar>
              <w:top w:type="dxa" w:w="90"/>
              <w:left w:type="dxa" w:w="140"/>
              <w:bottom w:type="dxa" w:w="90"/>
              <w:right w:type="dxa" w:w="140"/>
            </w:tcMar>
            <w:vAlign w:val="center"/>
          </w:tcPr>
          <w:p>
            <w:pPr>
              <w:spacing/>
              <w:jc w:val="left"/>
            </w:pPr>
            <w:r>
              <w:rPr>
                <w:rFonts w:ascii="Arial" w:cs="Arial" w:eastAsia="Arial" w:hAnsi="Arial"/>
                <w:color w:val="DC2626"/>
                <w:sz w:val="20"/>
                <w:szCs w:val="20"/>
              </w:rPr>
              <w:t xml:space="preserve">$20/mo</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111827"/>
                <w:sz w:val="20"/>
                <w:szCs w:val="20"/>
              </w:rPr>
              <w:t xml:space="preserve">Macro geopolitical intelligence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Geo-Quant / Exante Data</w:t>
            </w:r>
          </w:p>
        </w:tc>
        <w:tc>
          <w:tcPr>
            <w:tcW w:type="dxa" w:w="2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vAlign w:val="center"/>
          </w:tcPr>
          <w:p>
            <w:pPr>
              <w:spacing/>
              <w:jc w:val="left"/>
            </w:pPr>
            <w:r>
              <w:rPr>
                <w:rFonts w:ascii="Arial" w:cs="Arial" w:eastAsia="Arial" w:hAnsi="Arial"/>
                <w:color w:val="DC2626"/>
                <w:sz w:val="20"/>
                <w:szCs w:val="20"/>
              </w:rPr>
              <w:t xml:space="preserve">$500+/mo</w:t>
            </w:r>
          </w:p>
        </w:tc>
      </w:tr>
      <w:tr>
        <w:tc>
          <w:tcPr>
            <w:tcW w:type="dxa" w:w="3600"/>
            <w:tcBorders>
              <w:top w:val="single" w:color="E5E7EB" w:sz="1"/>
              <w:left w:val="single" w:color="E5E7EB" w:sz="1"/>
              <w:bottom w:val="single" w:color="E5E7EB" w:sz="1"/>
              <w:right w:val="single" w:color="E5E7EB" w:sz="1"/>
            </w:tcBorders>
            <w:shd w:fill="FEF3C7" w:val="clear"/>
            <w:tcMar>
              <w:top w:type="dxa" w:w="90"/>
              <w:left w:type="dxa" w:w="140"/>
              <w:bottom w:type="dxa" w:w="90"/>
              <w:right w:type="dxa" w:w="140"/>
            </w:tcMar>
            <w:vAlign w:val="center"/>
          </w:tcPr>
          <w:p>
            <w:pPr>
              <w:spacing/>
              <w:jc w:val="left"/>
            </w:pPr>
            <w:r>
              <w:rPr>
                <w:rFonts w:ascii="Arial" w:cs="Arial" w:eastAsia="Arial" w:hAnsi="Arial"/>
                <w:b/>
                <w:bCs/>
                <w:color w:val="B45309"/>
                <w:sz w:val="20"/>
                <w:szCs w:val="20"/>
              </w:rPr>
              <w:t xml:space="preserve">Comparable total</w:t>
            </w:r>
          </w:p>
        </w:tc>
        <w:tc>
          <w:tcPr>
            <w:tcW w:type="dxa" w:w="2800"/>
            <w:tcBorders>
              <w:top w:val="single" w:color="E5E7EB" w:sz="1"/>
              <w:left w:val="single" w:color="E5E7EB" w:sz="1"/>
              <w:bottom w:val="single" w:color="E5E7EB" w:sz="1"/>
              <w:right w:val="single" w:color="E5E7EB" w:sz="1"/>
            </w:tcBorders>
            <w:shd w:fill="FEF3C7"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
            </w:r>
          </w:p>
        </w:tc>
        <w:tc>
          <w:tcPr>
            <w:tcW w:type="dxa" w:w="2960"/>
            <w:tcBorders>
              <w:top w:val="single" w:color="E5E7EB" w:sz="1"/>
              <w:left w:val="single" w:color="E5E7EB" w:sz="1"/>
              <w:bottom w:val="single" w:color="E5E7EB" w:sz="1"/>
              <w:right w:val="single" w:color="E5E7EB" w:sz="1"/>
            </w:tcBorders>
            <w:shd w:fill="FEF3C7" w:val="clear"/>
            <w:tcMar>
              <w:top w:type="dxa" w:w="90"/>
              <w:left w:type="dxa" w:w="140"/>
              <w:bottom w:type="dxa" w:w="90"/>
              <w:right w:type="dxa" w:w="140"/>
            </w:tcMar>
            <w:vAlign w:val="center"/>
          </w:tcPr>
          <w:p>
            <w:pPr>
              <w:spacing/>
              <w:jc w:val="left"/>
            </w:pPr>
            <w:r>
              <w:rPr>
                <w:rFonts w:ascii="Arial" w:cs="Arial" w:eastAsia="Arial" w:hAnsi="Arial"/>
                <w:b/>
                <w:bCs/>
                <w:color w:val="B45309"/>
                <w:sz w:val="20"/>
                <w:szCs w:val="20"/>
              </w:rPr>
              <w:t xml:space="preserve">~$1,166–$1,096+/mo</w:t>
            </w:r>
          </w:p>
        </w:tc>
      </w:tr>
      <w:tr>
        <w:tc>
          <w:tcPr>
            <w:tcW w:type="dxa" w:w="36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Wali-OS Pro — everything above</w:t>
            </w:r>
          </w:p>
        </w:tc>
        <w:tc>
          <w:tcPr>
            <w:tcW w:type="dxa" w:w="280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color w:val="6B7280"/>
                <w:sz w:val="20"/>
                <w:szCs w:val="20"/>
              </w:rPr>
              <w:t xml:space="preserve"/>
            </w:r>
          </w:p>
        </w:tc>
        <w:tc>
          <w:tcPr>
            <w:tcW w:type="dxa" w:w="2960"/>
            <w:tcBorders>
              <w:top w:val="single" w:color="E5E7EB" w:sz="1"/>
              <w:left w:val="single" w:color="E5E7EB" w:sz="1"/>
              <w:bottom w:val="single" w:color="E5E7EB" w:sz="1"/>
              <w:right w:val="single" w:color="E5E7EB" w:sz="1"/>
            </w:tcBorders>
            <w:shd w:fill="EDE9FE" w:val="clear"/>
            <w:tcMar>
              <w:top w:type="dxa" w:w="90"/>
              <w:left w:type="dxa" w:w="140"/>
              <w:bottom w:type="dxa" w:w="90"/>
              <w:right w:type="dxa" w:w="140"/>
            </w:tcMar>
            <w:vAlign w:val="center"/>
          </w:tcPr>
          <w:p>
            <w:pPr>
              <w:spacing/>
              <w:jc w:val="left"/>
            </w:pPr>
            <w:r>
              <w:rPr>
                <w:rFonts w:ascii="Arial" w:cs="Arial" w:eastAsia="Arial" w:hAnsi="Arial"/>
                <w:b/>
                <w:bCs/>
                <w:color w:val="7C3AED"/>
                <w:sz w:val="20"/>
                <w:szCs w:val="20"/>
              </w:rPr>
              <w:t xml:space="preserve">$49/mo</w:t>
            </w:r>
          </w:p>
        </w:tc>
      </w:tr>
    </w:tbl>
    <w:p>
      <w:pPr>
        <w:pBdr>
          <w:bottom w:val="single" w:color="E5E7EB" w:sz="3" w:space="1"/>
        </w:pBdr>
        <w:spacing w:after="200" w:before="240"/>
      </w:pPr>
    </w:p>
    <w:p>
      <w:pPr>
        <w:spacing w:after="120" w:before="300"/>
      </w:pPr>
      <w:r>
        <w:rPr>
          <w:rFonts w:ascii="Arial" w:cs="Arial" w:eastAsia="Arial" w:hAnsi="Arial"/>
          <w:b/>
          <w:bCs/>
          <w:caps/>
          <w:color w:val="7C3AED"/>
          <w:sz w:val="20"/>
          <w:szCs w:val="20"/>
        </w:rPr>
        <w:t xml:space="preserve">GET STARTED IN 4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920"/>
        <w:gridCol w:w="160"/>
        <w:gridCol w:w="680"/>
        <w:gridCol w:w="3920"/>
      </w:tblGrid>
      <w:tr>
        <w:tc>
          <w:tcPr>
            <w:tcW w:type="dxa" w:w="680"/>
            <w:tcBorders>
              <w:top w:val="none" w:color="FFFFFF" w:sz="0"/>
              <w:left w:val="none" w:color="FFFFFF" w:sz="0"/>
              <w:bottom w:val="none" w:color="FFFFFF" w:sz="0"/>
              <w:right w:val="none" w:color="FFFFFF" w:sz="0"/>
            </w:tcBorders>
            <w:vAlign w:val="center"/>
          </w:tcPr>
          <w:p>
            <w:pPr>
              <w:spacing/>
              <w:jc w:val="center"/>
            </w:pPr>
            <w:r>
              <w:rPr>
                <w:rFonts w:ascii="Arial" w:cs="Arial" w:eastAsia="Arial" w:hAnsi="Arial"/>
                <w:b/>
                <w:bCs/>
                <w:color w:val="7C3AED"/>
                <w:sz w:val="52"/>
                <w:szCs w:val="52"/>
              </w:rPr>
              <w:t xml:space="preserve">01</w:t>
            </w:r>
          </w:p>
        </w:tc>
        <w:tc>
          <w:tcPr>
            <w:tcW w:type="dxa" w:w="3920"/>
            <w:tcBorders>
              <w:top w:val="none" w:color="FFFFFF" w:sz="0"/>
              <w:left w:val="none" w:color="FFFFFF" w:sz="0"/>
              <w:bottom w:val="none" w:color="FFFFFF" w:sz="0"/>
              <w:right w:val="none" w:color="FFFFFF" w:sz="0"/>
            </w:tcBorders>
            <w:tcMar>
              <w:top w:type="dxa" w:w="0"/>
              <w:left w:type="dxa" w:w="140"/>
              <w:bottom w:type="dxa" w:w="0"/>
              <w:right w:type="dxa" w:w="60"/>
            </w:tcMar>
          </w:tcPr>
          <w:p>
            <w:pPr>
              <w:spacing/>
              <w:jc w:val="left"/>
            </w:pPr>
            <w:r>
              <w:rPr>
                <w:rFonts w:ascii="Arial" w:cs="Arial" w:eastAsia="Arial" w:hAnsi="Arial"/>
                <w:b/>
                <w:bCs/>
                <w:color w:val="111827"/>
                <w:sz w:val="26"/>
                <w:szCs w:val="26"/>
              </w:rPr>
              <w:t xml:space="preserve">Visit wali-os.com</w:t>
            </w:r>
          </w:p>
          <w:p>
            <w:pPr>
              <w:spacing/>
              <w:jc w:val="left"/>
            </w:pPr>
            <w:r>
              <w:rPr>
                <w:rFonts w:ascii="Arial" w:cs="Arial" w:eastAsia="Arial" w:hAnsi="Arial"/>
                <w:color w:val="6B7280"/>
                <w:sz w:val="20"/>
                <w:szCs w:val="20"/>
              </w:rPr>
              <w:t xml:space="preserve">Start your free 7-day trial. Full Pro access, no credit card required.</w:t>
            </w:r>
          </w:p>
        </w:tc>
        <w:tc>
          <w:tcPr>
            <w:tcW w:type="dxa" w:w="160"/>
            <w:tcBorders>
              <w:top w:val="none" w:color="FFFFFF" w:sz="0"/>
              <w:left w:val="none" w:color="FFFFFF" w:sz="0"/>
              <w:bottom w:val="none" w:color="FFFFFF" w:sz="0"/>
              <w:right w:val="none" w:color="FFFFFF" w:sz="0"/>
            </w:tcBorders>
          </w:tcPr>
          <w:p>
            <w:pPr>
              <w:spacing w:after="80" w:before="0"/>
              <w:jc w:val="left"/>
            </w:pPr>
            <w:r>
              <w:rPr>
                <w:rFonts w:ascii="Arial" w:cs="Arial" w:eastAsia="Arial" w:hAnsi="Arial"/>
                <w:color w:val="111827"/>
                <w:sz w:val="22"/>
                <w:szCs w:val="22"/>
              </w:rPr>
              <w:t xml:space="preserve"/>
            </w:r>
          </w:p>
        </w:tc>
        <w:tc>
          <w:tcPr>
            <w:tcW w:type="dxa" w:w="680"/>
            <w:tcBorders>
              <w:top w:val="none" w:color="FFFFFF" w:sz="0"/>
              <w:left w:val="none" w:color="FFFFFF" w:sz="0"/>
              <w:bottom w:val="none" w:color="FFFFFF" w:sz="0"/>
              <w:right w:val="none" w:color="FFFFFF" w:sz="0"/>
            </w:tcBorders>
            <w:vAlign w:val="center"/>
          </w:tcPr>
          <w:p>
            <w:pPr>
              <w:spacing/>
              <w:jc w:val="center"/>
            </w:pPr>
            <w:r>
              <w:rPr>
                <w:rFonts w:ascii="Arial" w:cs="Arial" w:eastAsia="Arial" w:hAnsi="Arial"/>
                <w:b/>
                <w:bCs/>
                <w:color w:val="7C3AED"/>
                <w:sz w:val="52"/>
                <w:szCs w:val="52"/>
              </w:rPr>
              <w:t xml:space="preserve">02</w:t>
            </w:r>
          </w:p>
        </w:tc>
        <w:tc>
          <w:tcPr>
            <w:tcW w:type="dxa" w:w="3920"/>
            <w:tcBorders>
              <w:top w:val="none" w:color="FFFFFF" w:sz="0"/>
              <w:left w:val="none" w:color="FFFFFF" w:sz="0"/>
              <w:bottom w:val="none" w:color="FFFFFF" w:sz="0"/>
              <w:right w:val="none" w:color="FFFFFF" w:sz="0"/>
            </w:tcBorders>
            <w:tcMar>
              <w:top w:type="dxa" w:w="0"/>
              <w:left w:type="dxa" w:w="140"/>
              <w:bottom w:type="dxa" w:w="0"/>
              <w:right w:type="dxa" w:w="60"/>
            </w:tcMar>
          </w:tcPr>
          <w:p>
            <w:pPr>
              <w:spacing/>
              <w:jc w:val="left"/>
            </w:pPr>
            <w:r>
              <w:rPr>
                <w:rFonts w:ascii="Arial" w:cs="Arial" w:eastAsia="Arial" w:hAnsi="Arial"/>
                <w:b/>
                <w:bCs/>
                <w:color w:val="111827"/>
                <w:sz w:val="26"/>
                <w:szCs w:val="26"/>
              </w:rPr>
              <w:t xml:space="preserve">Run your first analysis</w:t>
            </w:r>
          </w:p>
          <w:p>
            <w:pPr>
              <w:spacing/>
              <w:jc w:val="left"/>
            </w:pPr>
            <w:r>
              <w:rPr>
                <w:rFonts w:ascii="Arial" w:cs="Arial" w:eastAsia="Arial" w:hAnsi="Arial"/>
                <w:color w:val="6B7280"/>
                <w:sz w:val="20"/>
                <w:szCs w:val="20"/>
              </w:rPr>
              <w:t xml:space="preserve">Type any ticker. Watch all 6 AI stages debate in real time.</w:t>
            </w:r>
          </w:p>
        </w:tc>
      </w:tr>
      <w:tr>
        <w:tc>
          <w:tcPr>
            <w:tcW w:type="dxa" w:w="680"/>
            <w:tcBorders>
              <w:top w:val="none" w:color="FFFFFF" w:sz="0"/>
              <w:left w:val="none" w:color="FFFFFF" w:sz="0"/>
              <w:bottom w:val="none" w:color="FFFFFF" w:sz="0"/>
              <w:right w:val="none" w:color="FFFFFF" w:sz="0"/>
            </w:tcBorders>
            <w:vAlign w:val="center"/>
          </w:tcPr>
          <w:p>
            <w:pPr>
              <w:spacing/>
              <w:jc w:val="center"/>
            </w:pPr>
            <w:r>
              <w:rPr>
                <w:rFonts w:ascii="Arial" w:cs="Arial" w:eastAsia="Arial" w:hAnsi="Arial"/>
                <w:b/>
                <w:bCs/>
                <w:color w:val="7C3AED"/>
                <w:sz w:val="52"/>
                <w:szCs w:val="52"/>
              </w:rPr>
              <w:t xml:space="preserve">03</w:t>
            </w:r>
          </w:p>
        </w:tc>
        <w:tc>
          <w:tcPr>
            <w:tcW w:type="dxa" w:w="3920"/>
            <w:tcBorders>
              <w:top w:val="none" w:color="FFFFFF" w:sz="0"/>
              <w:left w:val="none" w:color="FFFFFF" w:sz="0"/>
              <w:bottom w:val="none" w:color="FFFFFF" w:sz="0"/>
              <w:right w:val="none" w:color="FFFFFF" w:sz="0"/>
            </w:tcBorders>
            <w:tcMar>
              <w:top w:type="dxa" w:w="0"/>
              <w:left w:type="dxa" w:w="140"/>
              <w:bottom w:type="dxa" w:w="0"/>
              <w:right w:type="dxa" w:w="60"/>
            </w:tcMar>
          </w:tcPr>
          <w:p>
            <w:pPr>
              <w:spacing/>
              <w:jc w:val="left"/>
            </w:pPr>
            <w:r>
              <w:rPr>
                <w:rFonts w:ascii="Arial" w:cs="Arial" w:eastAsia="Arial" w:hAnsi="Arial"/>
                <w:b/>
                <w:bCs/>
                <w:color w:val="111827"/>
                <w:sz w:val="26"/>
                <w:szCs w:val="26"/>
              </w:rPr>
              <w:t xml:space="preserve">Add your holdings</w:t>
            </w:r>
          </w:p>
          <w:p>
            <w:pPr>
              <w:spacing/>
              <w:jc w:val="left"/>
            </w:pPr>
            <w:r>
              <w:rPr>
                <w:rFonts w:ascii="Arial" w:cs="Arial" w:eastAsia="Arial" w:hAnsi="Arial"/>
                <w:color w:val="6B7280"/>
                <w:sz w:val="20"/>
                <w:szCs w:val="20"/>
              </w:rPr>
              <w:t xml:space="preserve">Stocks and options. Run a Health Check to see which positions need attention.</w:t>
            </w:r>
          </w:p>
        </w:tc>
        <w:tc>
          <w:tcPr>
            <w:tcW w:type="dxa" w:w="160"/>
            <w:tcBorders>
              <w:top w:val="none" w:color="FFFFFF" w:sz="0"/>
              <w:left w:val="none" w:color="FFFFFF" w:sz="0"/>
              <w:bottom w:val="none" w:color="FFFFFF" w:sz="0"/>
              <w:right w:val="none" w:color="FFFFFF" w:sz="0"/>
            </w:tcBorders>
          </w:tcPr>
          <w:p>
            <w:pPr>
              <w:spacing w:after="80" w:before="0"/>
              <w:jc w:val="left"/>
            </w:pPr>
            <w:r>
              <w:rPr>
                <w:rFonts w:ascii="Arial" w:cs="Arial" w:eastAsia="Arial" w:hAnsi="Arial"/>
                <w:color w:val="111827"/>
                <w:sz w:val="22"/>
                <w:szCs w:val="22"/>
              </w:rPr>
              <w:t xml:space="preserve"/>
            </w:r>
          </w:p>
        </w:tc>
        <w:tc>
          <w:tcPr>
            <w:tcW w:type="dxa" w:w="680"/>
            <w:tcBorders>
              <w:top w:val="none" w:color="FFFFFF" w:sz="0"/>
              <w:left w:val="none" w:color="FFFFFF" w:sz="0"/>
              <w:bottom w:val="none" w:color="FFFFFF" w:sz="0"/>
              <w:right w:val="none" w:color="FFFFFF" w:sz="0"/>
            </w:tcBorders>
            <w:vAlign w:val="center"/>
          </w:tcPr>
          <w:p>
            <w:pPr>
              <w:spacing/>
              <w:jc w:val="center"/>
            </w:pPr>
            <w:r>
              <w:rPr>
                <w:rFonts w:ascii="Arial" w:cs="Arial" w:eastAsia="Arial" w:hAnsi="Arial"/>
                <w:b/>
                <w:bCs/>
                <w:color w:val="7C3AED"/>
                <w:sz w:val="52"/>
                <w:szCs w:val="52"/>
              </w:rPr>
              <w:t xml:space="preserve">04</w:t>
            </w:r>
          </w:p>
        </w:tc>
        <w:tc>
          <w:tcPr>
            <w:tcW w:type="dxa" w:w="3920"/>
            <w:tcBorders>
              <w:top w:val="none" w:color="FFFFFF" w:sz="0"/>
              <w:left w:val="none" w:color="FFFFFF" w:sz="0"/>
              <w:bottom w:val="none" w:color="FFFFFF" w:sz="0"/>
              <w:right w:val="none" w:color="FFFFFF" w:sz="0"/>
            </w:tcBorders>
            <w:tcMar>
              <w:top w:type="dxa" w:w="0"/>
              <w:left w:type="dxa" w:w="140"/>
              <w:bottom w:type="dxa" w:w="0"/>
              <w:right w:type="dxa" w:w="60"/>
            </w:tcMar>
          </w:tcPr>
          <w:p>
            <w:pPr>
              <w:spacing/>
              <w:jc w:val="left"/>
            </w:pPr>
            <w:r>
              <w:rPr>
                <w:rFonts w:ascii="Arial" w:cs="Arial" w:eastAsia="Arial" w:hAnsi="Arial"/>
                <w:b/>
                <w:bCs/>
                <w:color w:val="111827"/>
                <w:sz w:val="26"/>
                <w:szCs w:val="26"/>
              </w:rPr>
              <w:t xml:space="preserve">Choose your plan</w:t>
            </w:r>
          </w:p>
          <w:p>
            <w:pPr>
              <w:spacing/>
              <w:jc w:val="left"/>
            </w:pPr>
            <w:r>
              <w:rPr>
                <w:rFonts w:ascii="Arial" w:cs="Arial" w:eastAsia="Arial" w:hAnsi="Arial"/>
                <w:color w:val="6B7280"/>
                <w:sz w:val="20"/>
                <w:szCs w:val="20"/>
              </w:rPr>
              <w:t xml:space="preserve">Upgrade to Standard ($29) or Pro ($49) at any time. Cancel anytime.</w:t>
            </w:r>
          </w:p>
        </w:tc>
      </w:tr>
    </w:tbl>
    <w:p>
      <w:pPr>
        <w:pBdr>
          <w:bottom w:val="single" w:color="E5E7EB" w:sz="3" w:space="1"/>
        </w:pBdr>
        <w:spacing w:after="140" w:before="200"/>
      </w:pPr>
    </w:p>
    <w:p>
      <w:pPr>
        <w:spacing/>
        <w:jc w:val="left"/>
      </w:pPr>
      <w:r>
        <w:rPr>
          <w:rFonts w:ascii="Arial" w:cs="Arial" w:eastAsia="Arial" w:hAnsi="Arial"/>
          <w:b/>
          <w:bCs/>
          <w:color w:val="111827"/>
          <w:sz w:val="22"/>
          <w:szCs w:val="22"/>
        </w:rPr>
        <w:t xml:space="preserve">Website: </w:t>
      </w:r>
      <w:r>
        <w:rPr>
          <w:rFonts w:ascii="Arial" w:cs="Arial" w:eastAsia="Arial" w:hAnsi="Arial"/>
          <w:color w:val="7C3AED"/>
          <w:sz w:val="22"/>
          <w:szCs w:val="22"/>
        </w:rPr>
        <w:t xml:space="preserve">wali-os.com</w:t>
      </w:r>
    </w:p>
    <w:p>
      <w:pPr>
        <w:spacing/>
        <w:jc w:val="left"/>
      </w:pPr>
      <w:r>
        <w:rPr>
          <w:rFonts w:ascii="Arial" w:cs="Arial" w:eastAsia="Arial" w:hAnsi="Arial"/>
          <w:b/>
          <w:bCs/>
          <w:color w:val="111827"/>
          <w:sz w:val="22"/>
          <w:szCs w:val="22"/>
        </w:rPr>
        <w:t xml:space="preserve">Support: </w:t>
      </w:r>
      <w:r>
        <w:rPr>
          <w:rFonts w:ascii="Arial" w:cs="Arial" w:eastAsia="Arial" w:hAnsi="Arial"/>
          <w:color w:val="7C3AED"/>
          <w:sz w:val="22"/>
          <w:szCs w:val="22"/>
        </w:rPr>
        <w:t xml:space="preserve">support@wali-os.com</w:t>
      </w:r>
    </w:p>
    <w:p>
      <w:pPr>
        <w:spacing/>
        <w:jc w:val="left"/>
      </w:pPr>
      <w:r>
        <w:rPr>
          <w:rFonts w:ascii="Arial" w:cs="Arial" w:eastAsia="Arial" w:hAnsi="Arial"/>
          <w:b/>
          <w:bCs/>
          <w:color w:val="111827"/>
          <w:sz w:val="22"/>
          <w:szCs w:val="22"/>
        </w:rPr>
        <w:t xml:space="preserve">Team &amp; Institutional pricing: </w:t>
      </w:r>
      <w:r>
        <w:rPr>
          <w:rFonts w:ascii="Arial" w:cs="Arial" w:eastAsia="Arial" w:hAnsi="Arial"/>
          <w:color w:val="6B7280"/>
          <w:sz w:val="22"/>
          <w:szCs w:val="22"/>
        </w:rPr>
        <w:t xml:space="preserve">Contact us for volume discounts and white-label options.</w:t>
      </w:r>
    </w:p>
    <w:p>
      <w:pPr>
        <w:spacing/>
        <w:jc w:val="left"/>
      </w:pPr>
      <w:r>
        <w:rPr>
          <w:rFonts w:ascii="Arial" w:cs="Arial" w:eastAsia="Arial" w:hAnsi="Arial"/>
          <w:color w:val="6B7280"/>
          <w:sz w:val="17"/>
          <w:szCs w:val="17"/>
        </w:rPr>
        <w:t xml:space="preserve">© 2026 Wali-OS. All rights reserved. Wali-OS is not a registered investment advisor. All analysis is for informational and educational purposes only and does not constitute investment advice. Past performance is not indicative of future results. Trading involves substantial risk of loss.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tabs>
        <w:tab w:val="right" w:pos="9200"/>
      </w:tabs>
      <w:spacing w:after="0" w:before="100"/>
    </w:pPr>
    <w:r>
      <w:rPr>
        <w:rFonts w:ascii="Arial" w:cs="Arial" w:eastAsia="Arial" w:hAnsi="Arial"/>
        <w:color w:val="6B7280"/>
        <w:sz w:val="17"/>
        <w:szCs w:val="17"/>
      </w:rPr>
      <w:t xml:space="preserve">wali-os.com   ·   support@wali-os.com</w:t>
    </w:r>
    <w:r>
      <w:rPr>
        <w:rFonts w:ascii="Arial" w:cs="Arial" w:eastAsia="Arial" w:hAnsi="Arial"/>
        <w:color w:val="111827"/>
        <w:sz w:val="17"/>
        <w:szCs w:val="17"/>
      </w:rPr>
      <w:t xml:space="preserve">	</w:t>
    </w: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3" w:space="1"/>
      </w:pBdr>
      <w:spacing w:after="100" w:before="0"/>
    </w:pPr>
    <w:r>
      <w:rPr>
        <w:rFonts w:ascii="Arial" w:cs="Arial" w:eastAsia="Arial" w:hAnsi="Arial"/>
        <w:b/>
        <w:bCs/>
        <w:color w:val="7C3AED"/>
        <w:sz w:val="22"/>
        <w:szCs w:val="22"/>
      </w:rPr>
      <w:t xml:space="preserve">WALI-OS  </w:t>
    </w:r>
    <w:r>
      <w:rPr>
        <w:rFonts w:ascii="Arial" w:cs="Arial" w:eastAsia="Arial" w:hAnsi="Arial"/>
        <w:color w:val="6B7280"/>
        <w:sz w:val="18"/>
        <w:szCs w:val="18"/>
      </w:rPr>
      <w:t xml:space="preserve">AI Stock Analysis Platform  ·  Confidential Product Offer Sheet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2026-04-17T16:32:25.501Z</dcterms:created>
  <dcterms:modified xsi:type="dcterms:W3CDTF">2026-04-17T16:32:25.502Z</dcterms:modified>
</cp:coreProperties>
</file>

<file path=docProps/custom.xml><?xml version="1.0" encoding="utf-8"?>
<Properties xmlns="http://schemas.openxmlformats.org/officeDocument/2006/custom-properties" xmlns:vt="http://schemas.openxmlformats.org/officeDocument/2006/docPropsVTypes"/>
</file>