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7C3AED"/>
          <w:sz w:val="72"/>
          <w:szCs w:val="72"/>
        </w:rPr>
        <w:t xml:space="preserve">WALI-OS</w:t>
      </w:r>
    </w:p>
    <w:p>
      <w:pPr>
        <w:spacing w:after="80" w:before="0"/>
      </w:pPr>
      <w:r>
        <w:rPr>
          <w:rFonts w:ascii="Arial" w:cs="Arial" w:eastAsia="Arial" w:hAnsi="Arial"/>
          <w:b/>
          <w:bCs/>
          <w:color w:val="111827"/>
          <w:sz w:val="36"/>
          <w:szCs w:val="36"/>
        </w:rPr>
        <w:t xml:space="preserve">AI-Powered Stock Analysis &amp; Portfolio Intelligence</w:t>
      </w:r>
    </w:p>
    <w:p>
      <w:pPr>
        <w:spacing w:after="40" w:before="0"/>
      </w:pPr>
      <w:r>
        <w:rPr>
          <w:rFonts w:ascii="Arial" w:cs="Arial" w:eastAsia="Arial" w:hAnsi="Arial"/>
          <w:i/>
          <w:iCs/>
          <w:color w:val="6B7280"/>
          <w:sz w:val="26"/>
          <w:szCs w:val="26"/>
        </w:rPr>
        <w:t xml:space="preserve">The only platform that puts 6 AI analysts in a live debate before giving you a verdict.</w:t>
      </w:r>
    </w:p>
    <w:p>
      <w:pPr>
        <w:pBdr>
          <w:bottom w:val="single" w:color="7C3AED" w:sz="4" w:space="1"/>
        </w:pBdr>
        <w:spacing w:after="240" w:before="160"/>
      </w:pPr>
    </w:p>
    <w:p>
      <w:pPr>
        <w:spacing w:after="120" w:before="320"/>
      </w:pPr>
      <w:r>
        <w:rPr>
          <w:rFonts w:ascii="Arial" w:cs="Arial" w:eastAsia="Arial" w:hAnsi="Arial"/>
          <w:b/>
          <w:bCs/>
          <w:caps/>
          <w:color w:val="7C3AED"/>
          <w:sz w:val="18"/>
          <w:szCs w:val="18"/>
        </w:rPr>
        <w:t xml:space="preserve">WHAT IS WALI-OS</w:t>
      </w:r>
    </w:p>
    <w:p>
      <w:pPr>
        <w:spacing w:after="80" w:before="80"/>
      </w:pPr>
      <w:r>
        <w:rPr>
          <w:rFonts w:ascii="Arial" w:cs="Arial" w:eastAsia="Arial" w:hAnsi="Arial"/>
          <w:color w:val="111827"/>
          <w:sz w:val="22"/>
          <w:szCs w:val="22"/>
        </w:rPr>
        <w:t xml:space="preserve">Wali-OS is an institutional-grade AI analysis platform built for individual traders and investors. Instead of a single AI giving you an opinion, Wali-OS runs every analysis through a </w:t>
      </w:r>
      <w:r>
        <w:rPr>
          <w:rFonts w:ascii="Arial" w:cs="Arial" w:eastAsia="Arial" w:hAnsi="Arial"/>
          <w:b/>
          <w:bCs/>
          <w:color w:val="7C3AED"/>
          <w:sz w:val="22"/>
          <w:szCs w:val="22"/>
        </w:rPr>
        <w:t xml:space="preserve">6-stage adversarial debate </w:t>
      </w:r>
      <w:r>
        <w:rPr>
          <w:rFonts w:ascii="Arial" w:cs="Arial" w:eastAsia="Arial" w:hAnsi="Arial"/>
          <w:color w:val="111827"/>
          <w:sz w:val="22"/>
          <w:szCs w:val="22"/>
        </w:rPr>
        <w:t xml:space="preserve">where multiple AI models with different investment philosophies challenge, rebut, and counter each other — before a final Judge delivers a verdict with a specific entry, stop, and target.</w:t>
      </w:r>
    </w:p>
    <w:p>
      <w:pPr>
        <w:spacing w:after="60" w:before="60"/>
      </w:pPr>
      <w:r>
        <w:rPr>
          <w:rFonts w:ascii="Arial" w:cs="Arial" w:eastAsia="Arial" w:hAnsi="Arial"/>
          <w:b/>
          <w:bCs/>
          <w:color w:val="111827"/>
          <w:sz w:val="22"/>
          <w:szCs w:val="22"/>
        </w:rPr>
        <w:t xml:space="preserve">What makes it different:</w:t>
      </w:r>
    </w:p>
    <w:p>
      <w:pPr>
        <w:spacing w:after="60" w:before="60"/>
      </w:pPr>
      <w:r>
        <w:rPr>
          <w:rFonts w:ascii="Arial" w:cs="Arial" w:eastAsia="Arial" w:hAnsi="Arial"/>
          <w:b/>
          <w:bCs/>
          <w:color w:val="059669"/>
          <w:sz w:val="22"/>
          <w:szCs w:val="22"/>
        </w:rPr>
        <w:t xml:space="preserve">✓  </w:t>
      </w:r>
      <w:r>
        <w:rPr>
          <w:rFonts w:ascii="Arial" w:cs="Arial" w:eastAsia="Arial" w:hAnsi="Arial"/>
          <w:color w:val="111827"/>
          <w:sz w:val="22"/>
          <w:szCs w:val="22"/>
        </w:rPr>
        <w:t xml:space="preserve">6-stage AI debate pipeline</w:t>
      </w:r>
      <w:r>
        <w:rPr>
          <w:rFonts w:ascii="Arial" w:cs="Arial" w:eastAsia="Arial" w:hAnsi="Arial"/>
          <w:color w:val="6B7280"/>
          <w:sz w:val="20"/>
          <w:szCs w:val="20"/>
        </w:rPr>
        <w:t xml:space="preserve">  — News Scout → Lead Analyst → Devil's Advocate → Rebuttal → Counter → Judge</w:t>
      </w:r>
    </w:p>
    <w:p>
      <w:pPr>
        <w:spacing w:after="60" w:before="60"/>
      </w:pPr>
      <w:r>
        <w:rPr>
          <w:rFonts w:ascii="Arial" w:cs="Arial" w:eastAsia="Arial" w:hAnsi="Arial"/>
          <w:b/>
          <w:bCs/>
          <w:color w:val="059669"/>
          <w:sz w:val="22"/>
          <w:szCs w:val="22"/>
        </w:rPr>
        <w:t xml:space="preserve">✓  </w:t>
      </w:r>
      <w:r>
        <w:rPr>
          <w:rFonts w:ascii="Arial" w:cs="Arial" w:eastAsia="Arial" w:hAnsi="Arial"/>
          <w:color w:val="111827"/>
          <w:sz w:val="22"/>
          <w:szCs w:val="22"/>
        </w:rPr>
        <w:t xml:space="preserve">Verified fundamentals</w:t>
      </w:r>
      <w:r>
        <w:rPr>
          <w:rFonts w:ascii="Arial" w:cs="Arial" w:eastAsia="Arial" w:hAnsi="Arial"/>
          <w:color w:val="6B7280"/>
          <w:sz w:val="20"/>
          <w:szCs w:val="20"/>
        </w:rPr>
        <w:t xml:space="preserve">  — Live data from SEC EDGAR XBRL filings — the same source institutional analysts use</w:t>
      </w:r>
    </w:p>
    <w:p>
      <w:pPr>
        <w:spacing w:after="60" w:before="60"/>
      </w:pPr>
      <w:r>
        <w:rPr>
          <w:rFonts w:ascii="Arial" w:cs="Arial" w:eastAsia="Arial" w:hAnsi="Arial"/>
          <w:b/>
          <w:bCs/>
          <w:color w:val="059669"/>
          <w:sz w:val="22"/>
          <w:szCs w:val="22"/>
        </w:rPr>
        <w:t xml:space="preserve">✓  </w:t>
      </w:r>
      <w:r>
        <w:rPr>
          <w:rFonts w:ascii="Arial" w:cs="Arial" w:eastAsia="Arial" w:hAnsi="Arial"/>
          <w:color w:val="111827"/>
          <w:sz w:val="22"/>
          <w:szCs w:val="22"/>
        </w:rPr>
        <w:t xml:space="preserve">Legislative intelligence</w:t>
      </w:r>
      <w:r>
        <w:rPr>
          <w:rFonts w:ascii="Arial" w:cs="Arial" w:eastAsia="Arial" w:hAnsi="Arial"/>
          <w:color w:val="6B7280"/>
          <w:sz w:val="20"/>
          <w:szCs w:val="20"/>
        </w:rPr>
        <w:t xml:space="preserve">  — Tracks Congress bills, Executive Orders, and STOCK Act trades in real-time</w:t>
      </w:r>
    </w:p>
    <w:p>
      <w:pPr>
        <w:spacing w:after="60" w:before="60"/>
      </w:pPr>
      <w:r>
        <w:rPr>
          <w:rFonts w:ascii="Arial" w:cs="Arial" w:eastAsia="Arial" w:hAnsi="Arial"/>
          <w:b/>
          <w:bCs/>
          <w:color w:val="059669"/>
          <w:sz w:val="22"/>
          <w:szCs w:val="22"/>
        </w:rPr>
        <w:t xml:space="preserve">✓  </w:t>
      </w:r>
      <w:r>
        <w:rPr>
          <w:rFonts w:ascii="Arial" w:cs="Arial" w:eastAsia="Arial" w:hAnsi="Arial"/>
          <w:color w:val="111827"/>
          <w:sz w:val="22"/>
          <w:szCs w:val="22"/>
        </w:rPr>
        <w:t xml:space="preserve">SEC filing alerts</w:t>
      </w:r>
      <w:r>
        <w:rPr>
          <w:rFonts w:ascii="Arial" w:cs="Arial" w:eastAsia="Arial" w:hAnsi="Arial"/>
          <w:color w:val="6B7280"/>
          <w:sz w:val="20"/>
          <w:szCs w:val="20"/>
        </w:rPr>
        <w:t xml:space="preserve">  — 8-K material events, Form 4 insider trades, 13-F institutional holdings</w:t>
      </w:r>
    </w:p>
    <w:p>
      <w:pPr>
        <w:spacing w:after="60" w:before="60"/>
      </w:pPr>
      <w:r>
        <w:rPr>
          <w:rFonts w:ascii="Arial" w:cs="Arial" w:eastAsia="Arial" w:hAnsi="Arial"/>
          <w:b/>
          <w:bCs/>
          <w:color w:val="059669"/>
          <w:sz w:val="22"/>
          <w:szCs w:val="22"/>
        </w:rPr>
        <w:t xml:space="preserve">✓  </w:t>
      </w:r>
      <w:r>
        <w:rPr>
          <w:rFonts w:ascii="Arial" w:cs="Arial" w:eastAsia="Arial" w:hAnsi="Arial"/>
          <w:color w:val="111827"/>
          <w:sz w:val="22"/>
          <w:szCs w:val="22"/>
        </w:rPr>
        <w:t xml:space="preserve">Portfolio health check</w:t>
      </w:r>
      <w:r>
        <w:rPr>
          <w:rFonts w:ascii="Arial" w:cs="Arial" w:eastAsia="Arial" w:hAnsi="Arial"/>
          <w:color w:val="6B7280"/>
          <w:sz w:val="20"/>
          <w:szCs w:val="20"/>
        </w:rPr>
        <w:t xml:space="preserve">  — Live stay/exit/watch verdict for every holding with RSI, volume, and Greek analysis for options</w:t>
      </w:r>
    </w:p>
    <w:p>
      <w:pPr>
        <w:spacing w:after="60" w:before="60"/>
      </w:pPr>
      <w:r>
        <w:rPr>
          <w:rFonts w:ascii="Arial" w:cs="Arial" w:eastAsia="Arial" w:hAnsi="Arial"/>
          <w:b/>
          <w:bCs/>
          <w:color w:val="059669"/>
          <w:sz w:val="22"/>
          <w:szCs w:val="22"/>
        </w:rPr>
        <w:t xml:space="preserve">✓  </w:t>
      </w:r>
      <w:r>
        <w:rPr>
          <w:rFonts w:ascii="Arial" w:cs="Arial" w:eastAsia="Arial" w:hAnsi="Arial"/>
          <w:color w:val="111827"/>
          <w:sz w:val="22"/>
          <w:szCs w:val="22"/>
        </w:rPr>
        <w:t xml:space="preserve">Budget screener</w:t>
      </w:r>
      <w:r>
        <w:rPr>
          <w:rFonts w:ascii="Arial" w:cs="Arial" w:eastAsia="Arial" w:hAnsi="Arial"/>
          <w:color w:val="6B7280"/>
          <w:sz w:val="20"/>
          <w:szCs w:val="20"/>
        </w:rPr>
        <w:t xml:space="preserve">  — Enter your max budget — get 5-10 picks from the hottest sector with full technical scoring</w:t>
      </w:r>
    </w:p>
    <w:p>
      <w:pPr>
        <w:spacing w:after="60" w:before="60"/>
      </w:pPr>
      <w:r>
        <w:rPr>
          <w:rFonts w:ascii="Arial" w:cs="Arial" w:eastAsia="Arial" w:hAnsi="Arial"/>
          <w:b/>
          <w:bCs/>
          <w:color w:val="059669"/>
          <w:sz w:val="22"/>
          <w:szCs w:val="22"/>
        </w:rPr>
        <w:t xml:space="preserve">✓  </w:t>
      </w:r>
      <w:r>
        <w:rPr>
          <w:rFonts w:ascii="Arial" w:cs="Arial" w:eastAsia="Arial" w:hAnsi="Arial"/>
          <w:color w:val="111827"/>
          <w:sz w:val="22"/>
          <w:szCs w:val="22"/>
        </w:rPr>
        <w:t xml:space="preserve">Trade journal with AI post-mortems</w:t>
      </w:r>
      <w:r>
        <w:rPr>
          <w:rFonts w:ascii="Arial" w:cs="Arial" w:eastAsia="Arial" w:hAnsi="Arial"/>
          <w:color w:val="6B7280"/>
          <w:sz w:val="20"/>
          <w:szCs w:val="20"/>
        </w:rPr>
        <w:t xml:space="preserve">  — Log trades, resolve outcomes, get graded by the council</w:t>
      </w:r>
    </w:p>
    <w:p>
      <w:pPr>
        <w:pBdr>
          <w:bottom w:val="single" w:color="E5E7EB" w:sz="4" w:space="1"/>
        </w:pBdr>
        <w:spacing w:after="200" w:before="240"/>
      </w:pPr>
    </w:p>
    <w:p>
      <w:pPr>
        <w:spacing w:after="120" w:before="320"/>
      </w:pPr>
      <w:r>
        <w:rPr>
          <w:rFonts w:ascii="Arial" w:cs="Arial" w:eastAsia="Arial" w:hAnsi="Arial"/>
          <w:b/>
          <w:bCs/>
          <w:caps/>
          <w:color w:val="7C3AED"/>
          <w:sz w:val="18"/>
          <w:szCs w:val="18"/>
        </w:rPr>
        <w:t xml:space="preserve">THE AI COUNCIL</w:t>
      </w:r>
    </w:p>
    <w:p>
      <w:pPr>
        <w:spacing w:after="160" w:before="80"/>
      </w:pPr>
      <w:r>
        <w:rPr>
          <w:rFonts w:ascii="Arial" w:cs="Arial" w:eastAsia="Arial" w:hAnsi="Arial"/>
          <w:color w:val="111827"/>
          <w:sz w:val="22"/>
          <w:szCs w:val="22"/>
        </w:rPr>
        <w:t xml:space="preserve">Every analysis runs through 6 distinct AI roles. No single model can dominate — they must argue with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Stage</w:t>
            </w:r>
          </w:p>
        </w:tc>
        <w:tc>
          <w:tcPr>
            <w:tcW w:type="dxa" w:w="160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Role</w:t>
            </w:r>
          </w:p>
        </w:tc>
        <w:tc>
          <w:tcPr>
            <w:tcW w:type="dxa" w:w="6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They Do</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center"/>
            </w:pPr>
            <w:r>
              <w:rPr>
                <w:rFonts w:ascii="Arial" w:cs="Arial" w:eastAsia="Arial" w:hAnsi="Arial"/>
                <w:b/>
                <w:bCs/>
                <w:color w:val="7C3AED"/>
                <w:sz w:val="22"/>
                <w:szCs w:val="22"/>
              </w:rPr>
              <w:t xml:space="preserve">1</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pPr>
            <w:r>
              <w:rPr>
                <w:rFonts w:ascii="Arial" w:cs="Arial" w:eastAsia="Arial" w:hAnsi="Arial"/>
                <w:b/>
                <w:bCs/>
                <w:color w:val="111827"/>
                <w:sz w:val="20"/>
                <w:szCs w:val="20"/>
              </w:rPr>
              <w:t xml:space="preserve">News Scout (Gemini)</w:t>
            </w:r>
          </w:p>
        </w:tc>
        <w:tc>
          <w:tcPr>
            <w:tcW w:type="dxa" w:w="6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Scans real-time headlines, macro conditions, and sentiment. Sets the information baseline before debate begins.</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7C3AED"/>
                <w:sz w:val="22"/>
                <w:szCs w:val="22"/>
              </w:rPr>
              <w:t xml:space="preserve">2</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11827"/>
                <w:sz w:val="20"/>
                <w:szCs w:val="20"/>
              </w:rPr>
              <w:t xml:space="preserve">Lead Analyst (Claude)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Builds the primary thesis using technicals, fundamentals, smart money, and options flow. Issues an initial signal.</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center"/>
            </w:pPr>
            <w:r>
              <w:rPr>
                <w:rFonts w:ascii="Arial" w:cs="Arial" w:eastAsia="Arial" w:hAnsi="Arial"/>
                <w:b/>
                <w:bCs/>
                <w:color w:val="7C3AED"/>
                <w:sz w:val="22"/>
                <w:szCs w:val="22"/>
              </w:rPr>
              <w:t xml:space="preserve">3</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pPr>
            <w:r>
              <w:rPr>
                <w:rFonts w:ascii="Arial" w:cs="Arial" w:eastAsia="Arial" w:hAnsi="Arial"/>
                <w:b/>
                <w:bCs/>
                <w:color w:val="111827"/>
                <w:sz w:val="20"/>
                <w:szCs w:val="20"/>
              </w:rPr>
              <w:t xml:space="preserve">Devil's Advocate (GPT-4o)</w:t>
            </w:r>
          </w:p>
        </w:tc>
        <w:tc>
          <w:tcPr>
            <w:tcW w:type="dxa" w:w="6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Challenges every assumption. Finds what the Lead Analyst missed. Forces intellectual honesty.</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7C3AED"/>
                <w:sz w:val="22"/>
                <w:szCs w:val="22"/>
              </w:rPr>
              <w:t xml:space="preserve">4</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11827"/>
                <w:sz w:val="20"/>
                <w:szCs w:val="20"/>
              </w:rPr>
              <w:t xml:space="preserve">Rebuttal (Claude)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Lead Analyst defends their position with fresh research. Concedes valid points, holds firm where justified.</w:t>
            </w:r>
          </w:p>
        </w:tc>
      </w:tr>
      <w:tr>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center"/>
            </w:pPr>
            <w:r>
              <w:rPr>
                <w:rFonts w:ascii="Arial" w:cs="Arial" w:eastAsia="Arial" w:hAnsi="Arial"/>
                <w:b/>
                <w:bCs/>
                <w:color w:val="7C3AED"/>
                <w:sz w:val="22"/>
                <w:szCs w:val="22"/>
              </w:rPr>
              <w:t xml:space="preserve">5</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pPr>
            <w:r>
              <w:rPr>
                <w:rFonts w:ascii="Arial" w:cs="Arial" w:eastAsia="Arial" w:hAnsi="Arial"/>
                <w:b/>
                <w:bCs/>
                <w:color w:val="111827"/>
                <w:sz w:val="20"/>
                <w:szCs w:val="20"/>
              </w:rPr>
              <w:t xml:space="preserve">Counter (GPT-4o)</w:t>
            </w:r>
          </w:p>
        </w:tc>
        <w:tc>
          <w:tcPr>
            <w:tcW w:type="dxa" w:w="6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Final challenge. Presses unresolved weaknesses. Closes with the single strongest argument for the Judge.</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jc w:val="center"/>
            </w:pPr>
            <w:r>
              <w:rPr>
                <w:rFonts w:ascii="Arial" w:cs="Arial" w:eastAsia="Arial" w:hAnsi="Arial"/>
                <w:b/>
                <w:bCs/>
                <w:color w:val="7C3AED"/>
                <w:sz w:val="22"/>
                <w:szCs w:val="22"/>
              </w:rPr>
              <w:t xml:space="preserve">6</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111827"/>
                <w:sz w:val="20"/>
                <w:szCs w:val="20"/>
              </w:rPr>
              <w:t xml:space="preserve">Judge (Claude Opus)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Weighs argument quality — not vote count. Issues the final verdict: signal, entry, stop, target, and plain-English action plan.</w:t>
            </w:r>
          </w:p>
        </w:tc>
      </w:tr>
    </w:tbl>
    <w:p>
      <w:pPr>
        <w:pBdr>
          <w:bottom w:val="single" w:color="E5E7EB" w:sz="4" w:space="1"/>
        </w:pBdr>
        <w:spacing w:after="200" w:before="240"/>
      </w:pPr>
    </w:p>
    <w:p>
      <w:pPr>
        <w:spacing w:after="120" w:before="320"/>
      </w:pPr>
      <w:r>
        <w:rPr>
          <w:rFonts w:ascii="Arial" w:cs="Arial" w:eastAsia="Arial" w:hAnsi="Arial"/>
          <w:b/>
          <w:bCs/>
          <w:caps/>
          <w:color w:val="7C3AED"/>
          <w:sz w:val="18"/>
          <w:szCs w:val="18"/>
        </w:rPr>
        <w:t xml:space="preserve">VERIFIED DATA SOURCES</w:t>
      </w:r>
    </w:p>
    <w:p>
      <w:pPr>
        <w:spacing w:after="120" w:before="80"/>
      </w:pPr>
      <w:r>
        <w:rPr>
          <w:rFonts w:ascii="Arial" w:cs="Arial" w:eastAsia="Arial" w:hAnsi="Arial"/>
          <w:color w:val="111827"/>
          <w:sz w:val="22"/>
          <w:szCs w:val="22"/>
        </w:rPr>
        <w:t xml:space="preserve">Every analysis is grounded in authoritative, real-time data — not estimated or aggregated.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spacing w:after="0" w:before="0"/>
            </w:pPr>
            <w:r>
              <w:rPr>
                <w:rFonts w:ascii="Arial" w:cs="Arial" w:eastAsia="Arial" w:hAnsi="Arial"/>
                <w:b/>
                <w:bCs/>
                <w:color w:val="7C3AED"/>
                <w:sz w:val="20"/>
                <w:szCs w:val="20"/>
              </w:rPr>
              <w:t xml:space="preserve">SEC EDGAR XBRL</w:t>
            </w:r>
          </w:p>
        </w:tc>
        <w:tc>
          <w:tcPr>
            <w:tcW w:type="dxa" w:w="716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Direct from SEC filings — revenue, EPS, cash, debt, owner earnings. 90-day cache. No third-party aggregation.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7C3AED"/>
                <w:sz w:val="20"/>
                <w:szCs w:val="20"/>
              </w:rPr>
              <w:t xml:space="preserve">SEC Filing Alerts</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8-K material events, Form 4 insider trades (with open-market flags), 13-F institutional positions, S-1/S-3 dilution risk.</w:t>
            </w:r>
          </w:p>
        </w:tc>
      </w:tr>
      <w:tr>
        <w:tc>
          <w:tcPr>
            <w:tcW w:type="dxa" w:w="22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spacing w:after="0" w:before="0"/>
            </w:pPr>
            <w:r>
              <w:rPr>
                <w:rFonts w:ascii="Arial" w:cs="Arial" w:eastAsia="Arial" w:hAnsi="Arial"/>
                <w:b/>
                <w:bCs/>
                <w:color w:val="7C3AED"/>
                <w:sz w:val="20"/>
                <w:szCs w:val="20"/>
              </w:rPr>
              <w:t xml:space="preserve">Congress &amp; Regulations</w:t>
            </w:r>
          </w:p>
        </w:tc>
        <w:tc>
          <w:tcPr>
            <w:tcW w:type="dxa" w:w="716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Active bills with market implications, Executive Orders from Federal Register, STOCK Act congressional trades with disclosure lag.</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7C3AED"/>
                <w:sz w:val="20"/>
                <w:szCs w:val="20"/>
              </w:rPr>
              <w:t xml:space="preserve">Options Chain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Live Greeks (delta, theta, IV, gamma, vega) via Tradier. Real-time bid/ask midpoints, open interest, put/call ratios.</w:t>
            </w:r>
          </w:p>
        </w:tc>
      </w:tr>
      <w:tr>
        <w:tc>
          <w:tcPr>
            <w:tcW w:type="dxa" w:w="22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spacing w:after="0" w:before="0"/>
            </w:pPr>
            <w:r>
              <w:rPr>
                <w:rFonts w:ascii="Arial" w:cs="Arial" w:eastAsia="Arial" w:hAnsi="Arial"/>
                <w:b/>
                <w:bCs/>
                <w:color w:val="7C3AED"/>
                <w:sz w:val="20"/>
                <w:szCs w:val="20"/>
              </w:rPr>
              <w:t xml:space="preserve">Technical Indicators</w:t>
            </w:r>
          </w:p>
        </w:tc>
        <w:tc>
          <w:tcPr>
            <w:tcW w:type="dxa" w:w="716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RSI, MACD, Bollinger Bands, ATR, Ichimoku, Golden Zone Fibonacci, Williams %R, CCI, OBV, volume ratio.</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7C3AED"/>
                <w:sz w:val="20"/>
                <w:szCs w:val="20"/>
              </w:rPr>
              <w:t xml:space="preserve">Smart Money</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Institutional flow via ETF tracking, congressional trades, insider transactions verified against Form 4 filings.</w:t>
            </w:r>
          </w:p>
        </w:tc>
      </w:tr>
      <w:tr>
        <w:tc>
          <w:tcPr>
            <w:tcW w:type="dxa" w:w="22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spacing w:after="0" w:before="0"/>
            </w:pPr>
            <w:r>
              <w:rPr>
                <w:rFonts w:ascii="Arial" w:cs="Arial" w:eastAsia="Arial" w:hAnsi="Arial"/>
                <w:b/>
                <w:bCs/>
                <w:color w:val="7C3AED"/>
                <w:sz w:val="20"/>
                <w:szCs w:val="20"/>
              </w:rPr>
              <w:t xml:space="preserve">Alpaca Markets</w:t>
            </w:r>
          </w:p>
        </w:tc>
        <w:tc>
          <w:tcPr>
            <w:tcW w:type="dxa" w:w="716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Real-time and historical bar data for prices, volume, pre/post-market quotes.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b/>
                <w:bCs/>
                <w:color w:val="7C3AED"/>
                <w:sz w:val="20"/>
                <w:szCs w:val="20"/>
              </w:rPr>
              <w:t xml:space="preserve">Finnhub</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spacing w:after="0" w:before="0"/>
            </w:pPr>
            <w:r>
              <w:rPr>
                <w:rFonts w:ascii="Arial" w:cs="Arial" w:eastAsia="Arial" w:hAnsi="Arial"/>
                <w:color w:val="111827"/>
                <w:sz w:val="20"/>
                <w:szCs w:val="20"/>
              </w:rPr>
              <w:t xml:space="preserve">Earnings calendar, analyst targets, company metrics, sector data, RSI calculations.</w:t>
            </w:r>
          </w:p>
        </w:tc>
      </w:tr>
    </w:tbl>
    <w:p>
      <w:r>
        <w:br w:type="page"/>
      </w:r>
    </w:p>
    <w:p>
      <w:pPr>
        <w:spacing w:after="120" w:before="320"/>
      </w:pPr>
      <w:r>
        <w:rPr>
          <w:rFonts w:ascii="Arial" w:cs="Arial" w:eastAsia="Arial" w:hAnsi="Arial"/>
          <w:b/>
          <w:bCs/>
          <w:caps/>
          <w:color w:val="7C3AED"/>
          <w:sz w:val="18"/>
          <w:szCs w:val="18"/>
        </w:rPr>
        <w:t xml:space="preserve">PRICING PLANS</w:t>
      </w:r>
    </w:p>
    <w:p>
      <w:pPr>
        <w:spacing w:after="200" w:before="80"/>
      </w:pPr>
      <w:r>
        <w:rPr>
          <w:rFonts w:ascii="Arial" w:cs="Arial" w:eastAsia="Arial" w:hAnsi="Arial"/>
          <w:color w:val="111827"/>
          <w:sz w:val="22"/>
          <w:szCs w:val="22"/>
        </w:rPr>
        <w:t xml:space="preserve">Simple, transparent pricing. </w:t>
      </w:r>
      <w:r>
        <w:rPr>
          <w:rFonts w:ascii="Arial" w:cs="Arial" w:eastAsia="Arial" w:hAnsi="Arial"/>
          <w:b/>
          <w:bCs/>
          <w:color w:val="7C3AED"/>
          <w:sz w:val="22"/>
          <w:szCs w:val="22"/>
        </w:rPr>
        <w:t xml:space="preserve">No ads. No selling your data. No hidden fees.</w:t>
      </w:r>
      <w:r>
        <w:rPr>
          <w:rFonts w:ascii="Arial" w:cs="Arial" w:eastAsia="Arial" w:hAnsi="Arial"/>
          <w:color w:val="111827"/>
          <w:sz w:val="22"/>
          <w:szCs w:val="22"/>
        </w:rPr>
        <w:t xml:space="preserve"> Cancel anytime.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180"/>
        <w:gridCol w:w="4320"/>
        <w:gridCol w:w="180"/>
        <w:gridCol w:w="432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none" w:color="FFFFFF" w:sz="0"/>
                    <w:left w:val="none" w:color="FFFFFF" w:sz="0"/>
                    <w:bottom w:val="none" w:color="FFFFFF" w:sz="0"/>
                    <w:right w:val="none" w:color="FFFFFF" w:sz="0"/>
                  </w:tcBorders>
                  <w:shd w:fill="F3F4F6" w:val="clear"/>
                  <w:tcMar>
                    <w:top w:type="dxa" w:w="200"/>
                    <w:left w:type="dxa" w:w="200"/>
                    <w:bottom w:type="dxa" w:w="0"/>
                    <w:right w:type="dxa" w:w="200"/>
                  </w:tcMar>
                </w:tcPr>
                <w:p>
                  <w:pPr>
                    <w:spacing w:after="0" w:before="0"/>
                    <w:jc w:val="center"/>
                  </w:pPr>
                  <w:r>
                    <w:rPr>
                      <w:rFonts w:ascii="Arial" w:cs="Arial" w:eastAsia="Arial" w:hAnsi="Arial"/>
                      <w:b/>
                      <w:bCs/>
                      <w:color w:val="7C3AED"/>
                      <w:sz w:val="28"/>
                      <w:szCs w:val="28"/>
                    </w:rPr>
                    <w:t xml:space="preserve">Standard</w:t>
                  </w:r>
                </w:p>
              </w:tc>
            </w:tr>
            <w:tr>
              <w:tc>
                <w:tcPr>
                  <w:tcW w:type="dxa" w:w="4320"/>
                  <w:tcBorders>
                    <w:top w:val="none" w:color="FFFFFF" w:sz="0"/>
                    <w:left w:val="none" w:color="FFFFFF" w:sz="0"/>
                    <w:bottom w:val="none" w:color="FFFFFF" w:sz="0"/>
                    <w:right w:val="none" w:color="FFFFFF" w:sz="0"/>
                  </w:tcBorders>
                  <w:shd w:fill="F3F4F6" w:val="clear"/>
                  <w:tcMar>
                    <w:top w:type="dxa" w:w="80"/>
                    <w:left w:type="dxa" w:w="200"/>
                    <w:bottom w:type="dxa" w:w="0"/>
                    <w:right w:type="dxa" w:w="200"/>
                  </w:tcMar>
                </w:tcPr>
                <w:p>
                  <w:pPr>
                    <w:spacing w:after="0" w:before="0"/>
                    <w:jc w:val="center"/>
                  </w:pPr>
                  <w:r>
                    <w:rPr>
                      <w:rFonts w:ascii="Arial" w:cs="Arial" w:eastAsia="Arial" w:hAnsi="Arial"/>
                      <w:b/>
                      <w:bCs/>
                      <w:color w:val="111827"/>
                      <w:sz w:val="48"/>
                      <w:szCs w:val="48"/>
                    </w:rPr>
                    <w:t xml:space="preserve">$29</w:t>
                  </w:r>
                  <w:r>
                    <w:rPr>
                      <w:rFonts w:ascii="Arial" w:cs="Arial" w:eastAsia="Arial" w:hAnsi="Arial"/>
                      <w:color w:val="6B7280"/>
                      <w:sz w:val="22"/>
                      <w:szCs w:val="22"/>
                    </w:rPr>
                    <w:t xml:space="preserve">/month</w:t>
                  </w:r>
                </w:p>
              </w:tc>
            </w:tr>
            <w:tr>
              <w:tc>
                <w:tcPr>
                  <w:tcW w:type="dxa" w:w="4320"/>
                  <w:tcBorders>
                    <w:top w:val="none" w:color="FFFFFF" w:sz="0"/>
                    <w:left w:val="none" w:color="FFFFFF" w:sz="0"/>
                    <w:bottom w:val="none" w:color="FFFFFF" w:sz="0"/>
                    <w:right w:val="none" w:color="FFFFFF" w:sz="0"/>
                  </w:tcBorders>
                  <w:shd w:fill="F3F4F6" w:val="clear"/>
                  <w:tcMar>
                    <w:top w:type="dxa" w:w="60"/>
                    <w:left w:type="dxa" w:w="200"/>
                    <w:bottom w:type="dxa" w:w="100"/>
                    <w:right w:type="dxa" w:w="200"/>
                  </w:tcMar>
                </w:tcPr>
                <w:p>
                  <w:pPr>
                    <w:spacing w:after="0" w:before="0"/>
                    <w:jc w:val="center"/>
                  </w:pPr>
                  <w:r>
                    <w:rPr>
                      <w:rFonts w:ascii="Arial" w:cs="Arial" w:eastAsia="Arial" w:hAnsi="Arial"/>
                      <w:i/>
                      <w:iCs/>
                      <w:color w:val="6B7280"/>
                      <w:sz w:val="20"/>
                      <w:szCs w:val="20"/>
                    </w:rPr>
                    <w:t xml:space="preserve">For active retail traders</w:t>
                  </w:r>
                </w:p>
              </w:tc>
            </w:tr>
            <w:tr>
              <w:tc>
                <w:tcPr>
                  <w:tcW w:type="dxa" w:w="4320"/>
                  <w:tcBorders>
                    <w:top w:val="none" w:color="FFFFFF" w:sz="0"/>
                    <w:left w:val="none" w:color="FFFFFF" w:sz="0"/>
                    <w:bottom w:val="none" w:color="FFFFFF" w:sz="0"/>
                    <w:right w:val="none" w:color="FFFFFF" w:sz="0"/>
                  </w:tcBorders>
                  <w:shd w:fill="F3F4F6" w:val="clear"/>
                  <w:tcMar>
                    <w:top w:type="dxa" w:w="0"/>
                    <w:left w:type="dxa" w:w="200"/>
                    <w:bottom w:type="dxa" w:w="0"/>
                    <w:right w:type="dxa" w:w="200"/>
                  </w:tcMar>
                </w:tcPr>
                <w:p>
                  <w:pPr>
                    <w:pBdr>
                      <w:bottom w:val="single" w:color="E5E7EB" w:sz="2" w:space="1"/>
                    </w:pBdr>
                    <w:spacing w:after="100" w:before="0"/>
                  </w:pP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Full 6-stage AI council</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Unlimited analyses</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All technical indicators</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Portfolio tracking (up to 10 positions)</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Trade journal + AI post-mortems</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Today's Movers &amp; Tomorrow's Playbook</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Sector top movers (all 11 sectors)</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Budget screener</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Pre-market daily brief</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Options tracking in journal</w:t>
                  </w:r>
                </w:p>
              </w:tc>
            </w:tr>
            <w:tr>
              <w:tc>
                <w:tcPr>
                  <w:tcW w:type="dxa" w:w="4320"/>
                  <w:tcBorders>
                    <w:top w:val="none" w:color="FFFFFF" w:sz="0"/>
                    <w:left w:val="none" w:color="FFFFFF" w:sz="0"/>
                    <w:bottom w:val="none" w:color="FFFFFF" w:sz="0"/>
                    <w:right w:val="none" w:color="FFFFFF" w:sz="0"/>
                  </w:tcBorders>
                  <w:shd w:fill="F3F4F6" w:val="clear"/>
                  <w:tcMar>
                    <w:top w:type="dxa" w:w="0"/>
                    <w:left w:type="dxa" w:w="200"/>
                    <w:bottom w:type="dxa" w:w="200"/>
                    <w:right w:type="dxa" w:w="200"/>
                  </w:tcMar>
                </w:tcPr>
                <w:p>
                  <w:pPr>
                    <w:spacing w:after="0" w:before="0"/>
                  </w:pPr>
                </w:p>
              </w:tc>
            </w:tr>
          </w:tbl>
          <w:p/>
        </w:tc>
        <w:tc>
          <w:tcPr>
            <w:tcW w:type="dxa" w:w="180"/>
            <w:tcBorders>
              <w:top w:val="none" w:color="FFFFFF" w:sz="0"/>
              <w:left w:val="none" w:color="FFFFFF" w:sz="0"/>
              <w:bottom w:val="none" w:color="FFFFFF" w:sz="0"/>
              <w:right w:val="none" w:color="FFFFFF" w:sz="0"/>
            </w:tcBorders>
          </w:tcPr>
          <w:p/>
        </w:tc>
        <w:tc>
          <w:tcPr>
            <w:tcW w:type="dxa" w:w="432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none" w:color="FFFFFF" w:sz="0"/>
                    <w:left w:val="none" w:color="FFFFFF" w:sz="0"/>
                    <w:bottom w:val="none" w:color="FFFFFF" w:sz="0"/>
                    <w:right w:val="none" w:color="FFFFFF" w:sz="0"/>
                  </w:tcBorders>
                  <w:shd w:fill="1E1B2E" w:val="clear"/>
                  <w:tcMar>
                    <w:top w:type="dxa" w:w="120"/>
                    <w:left w:type="dxa" w:w="200"/>
                    <w:bottom w:type="dxa" w:w="0"/>
                    <w:right w:type="dxa" w:w="200"/>
                  </w:tcMar>
                </w:tcPr>
                <w:p>
                  <w:pPr>
                    <w:spacing w:after="0" w:before="0"/>
                    <w:jc w:val="center"/>
                  </w:pPr>
                  <w:r>
                    <w:rPr>
                      <w:rFonts w:ascii="Arial" w:cs="Arial" w:eastAsia="Arial" w:hAnsi="Arial"/>
                      <w:b/>
                      <w:bCs/>
                      <w:color w:val="D97706"/>
                      <w:sz w:val="18"/>
                      <w:szCs w:val="18"/>
                    </w:rPr>
                    <w:t xml:space="preserve">⭐ MOST POPULAR</w:t>
                  </w:r>
                </w:p>
              </w:tc>
            </w:tr>
            <w:tr>
              <w:tc>
                <w:tcPr>
                  <w:tcW w:type="dxa" w:w="4320"/>
                  <w:tcBorders>
                    <w:top w:val="none" w:color="FFFFFF" w:sz="0"/>
                    <w:left w:val="none" w:color="FFFFFF" w:sz="0"/>
                    <w:bottom w:val="none" w:color="FFFFFF" w:sz="0"/>
                    <w:right w:val="none" w:color="FFFFFF" w:sz="0"/>
                  </w:tcBorders>
                  <w:shd w:fill="1E1B2E" w:val="clear"/>
                  <w:tcMar>
                    <w:top w:type="dxa" w:w="60"/>
                    <w:left w:type="dxa" w:w="200"/>
                    <w:bottom w:type="dxa" w:w="0"/>
                    <w:right w:type="dxa" w:w="200"/>
                  </w:tcMar>
                </w:tcPr>
                <w:p>
                  <w:pPr>
                    <w:spacing w:after="0" w:before="0"/>
                    <w:jc w:val="center"/>
                  </w:pPr>
                  <w:r>
                    <w:rPr>
                      <w:rFonts w:ascii="Arial" w:cs="Arial" w:eastAsia="Arial" w:hAnsi="Arial"/>
                      <w:b/>
                      <w:bCs/>
                      <w:color w:val="A78BFA"/>
                      <w:sz w:val="28"/>
                      <w:szCs w:val="28"/>
                    </w:rPr>
                    <w:t xml:space="preserve">Pro</w:t>
                  </w:r>
                </w:p>
              </w:tc>
            </w:tr>
            <w:tr>
              <w:tc>
                <w:tcPr>
                  <w:tcW w:type="dxa" w:w="4320"/>
                  <w:tcBorders>
                    <w:top w:val="none" w:color="FFFFFF" w:sz="0"/>
                    <w:left w:val="none" w:color="FFFFFF" w:sz="0"/>
                    <w:bottom w:val="none" w:color="FFFFFF" w:sz="0"/>
                    <w:right w:val="none" w:color="FFFFFF" w:sz="0"/>
                  </w:tcBorders>
                  <w:shd w:fill="1E1B2E" w:val="clear"/>
                  <w:tcMar>
                    <w:top w:type="dxa" w:w="80"/>
                    <w:left w:type="dxa" w:w="200"/>
                    <w:bottom w:type="dxa" w:w="0"/>
                    <w:right w:type="dxa" w:w="200"/>
                  </w:tcMar>
                </w:tcPr>
                <w:p>
                  <w:pPr>
                    <w:spacing w:after="0" w:before="0"/>
                    <w:jc w:val="center"/>
                  </w:pPr>
                  <w:r>
                    <w:rPr>
                      <w:rFonts w:ascii="Arial" w:cs="Arial" w:eastAsia="Arial" w:hAnsi="Arial"/>
                      <w:b/>
                      <w:bCs/>
                      <w:color w:val="FFFFFF"/>
                      <w:sz w:val="48"/>
                      <w:szCs w:val="48"/>
                    </w:rPr>
                    <w:t xml:space="preserve">$49</w:t>
                  </w:r>
                  <w:r>
                    <w:rPr>
                      <w:rFonts w:ascii="Arial" w:cs="Arial" w:eastAsia="Arial" w:hAnsi="Arial"/>
                      <w:color w:val="A78BFA"/>
                      <w:sz w:val="22"/>
                      <w:szCs w:val="22"/>
                    </w:rPr>
                    <w:t xml:space="preserve">/month</w:t>
                  </w:r>
                </w:p>
              </w:tc>
            </w:tr>
            <w:tr>
              <w:tc>
                <w:tcPr>
                  <w:tcW w:type="dxa" w:w="4320"/>
                  <w:tcBorders>
                    <w:top w:val="none" w:color="FFFFFF" w:sz="0"/>
                    <w:left w:val="none" w:color="FFFFFF" w:sz="0"/>
                    <w:bottom w:val="none" w:color="FFFFFF" w:sz="0"/>
                    <w:right w:val="none" w:color="FFFFFF" w:sz="0"/>
                  </w:tcBorders>
                  <w:shd w:fill="1E1B2E" w:val="clear"/>
                  <w:tcMar>
                    <w:top w:type="dxa" w:w="60"/>
                    <w:left w:type="dxa" w:w="200"/>
                    <w:bottom w:type="dxa" w:w="100"/>
                    <w:right w:type="dxa" w:w="200"/>
                  </w:tcMar>
                </w:tcPr>
                <w:p>
                  <w:pPr>
                    <w:spacing w:after="0" w:before="0"/>
                    <w:jc w:val="center"/>
                  </w:pPr>
                  <w:r>
                    <w:rPr>
                      <w:rFonts w:ascii="Arial" w:cs="Arial" w:eastAsia="Arial" w:hAnsi="Arial"/>
                      <w:i/>
                      <w:iCs/>
                      <w:color w:val="A78BFA"/>
                      <w:sz w:val="20"/>
                      <w:szCs w:val="20"/>
                    </w:rPr>
                    <w:t xml:space="preserve">For serious traders who want an edge</w:t>
                  </w:r>
                </w:p>
              </w:tc>
            </w:tr>
            <w:tr>
              <w:tc>
                <w:tcPr>
                  <w:tcW w:type="dxa" w:w="4320"/>
                  <w:tcBorders>
                    <w:top w:val="none" w:color="FFFFFF" w:sz="0"/>
                    <w:left w:val="none" w:color="FFFFFF" w:sz="0"/>
                    <w:bottom w:val="none" w:color="FFFFFF" w:sz="0"/>
                    <w:right w:val="none" w:color="FFFFFF" w:sz="0"/>
                  </w:tcBorders>
                  <w:shd w:fill="1E1B2E" w:val="clear"/>
                  <w:tcMar>
                    <w:top w:type="dxa" w:w="0"/>
                    <w:left w:type="dxa" w:w="200"/>
                    <w:bottom w:type="dxa" w:w="0"/>
                    <w:right w:type="dxa" w:w="200"/>
                  </w:tcMar>
                </w:tcPr>
                <w:p>
                  <w:pPr>
                    <w:pBdr>
                      <w:bottom w:val="single" w:color="4C1D95" w:sz="2" w:space="1"/>
                    </w:pBdr>
                    <w:spacing w:after="100" w:before="0"/>
                  </w:pP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Everything in Standard, plus: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SEC EDGAR verified fundamentals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8-K filing alerts &amp; insider trades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Congressional trade monitoring</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Executive Order tracking</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Legislative bill intelligence</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Unlimited portfolio positions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Position health check with Greeks</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Dividend tracking &amp; DRIP</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Macro Intelligence engine</w:t>
                  </w:r>
                </w:p>
              </w:tc>
            </w:tr>
            <w:tr>
              <w:tc>
                <w:tcPr>
                  <w:tcW w:type="dxa" w:w="4320"/>
                  <w:tcBorders>
                    <w:top w:val="none" w:color="FFFFFF" w:sz="0"/>
                    <w:left w:val="none" w:color="FFFFFF" w:sz="0"/>
                    <w:bottom w:val="none" w:color="FFFFFF" w:sz="0"/>
                    <w:right w:val="none" w:color="FFFFFF" w:sz="0"/>
                  </w:tcBorders>
                  <w:shd w:fill="1E1B2E" w:val="clear"/>
                  <w:tcMar>
                    <w:top w:type="dxa" w:w="40"/>
                    <w:left w:type="dxa" w:w="200"/>
                    <w:bottom w:type="dxa" w:w="40"/>
                    <w:right w:type="dxa" w:w="200"/>
                  </w:tcMar>
                </w:tcPr>
                <w:p>
                  <w:pPr>
                    <w:spacing w:after="0" w:before="0"/>
                  </w:pPr>
                  <w:r>
                    <w:rPr>
                      <w:rFonts w:ascii="Arial" w:cs="Arial" w:eastAsia="Arial" w:hAnsi="Arial"/>
                      <w:b/>
                      <w:bCs/>
                      <w:color w:val="A78BFA"/>
                      <w:sz w:val="20"/>
                      <w:szCs w:val="20"/>
                    </w:rPr>
                    <w:t xml:space="preserve">✓  </w:t>
                  </w:r>
                  <w:r>
                    <w:rPr>
                      <w:rFonts w:ascii="Arial" w:cs="Arial" w:eastAsia="Arial" w:hAnsi="Arial"/>
                      <w:color w:val="FFFFFF"/>
                      <w:sz w:val="20"/>
                      <w:szCs w:val="20"/>
                    </w:rPr>
                    <w:t xml:space="preserve">Priority AI model access</w:t>
                  </w:r>
                </w:p>
              </w:tc>
            </w:tr>
            <w:tr>
              <w:tc>
                <w:tcPr>
                  <w:tcW w:type="dxa" w:w="4320"/>
                  <w:tcBorders>
                    <w:top w:val="none" w:color="FFFFFF" w:sz="0"/>
                    <w:left w:val="none" w:color="FFFFFF" w:sz="0"/>
                    <w:bottom w:val="none" w:color="FFFFFF" w:sz="0"/>
                    <w:right w:val="none" w:color="FFFFFF" w:sz="0"/>
                  </w:tcBorders>
                  <w:shd w:fill="1E1B2E" w:val="clear"/>
                  <w:tcMar>
                    <w:top w:type="dxa" w:w="0"/>
                    <w:left w:type="dxa" w:w="200"/>
                    <w:bottom w:type="dxa" w:w="200"/>
                    <w:right w:type="dxa" w:w="200"/>
                  </w:tcMar>
                </w:tcPr>
                <w:p>
                  <w:pPr>
                    <w:spacing w:after="0" w:before="0"/>
                  </w:pPr>
                </w:p>
              </w:tc>
            </w:tr>
          </w:tbl>
          <w:p/>
        </w:tc>
        <w:tc>
          <w:tcPr>
            <w:tcW w:type="dxa" w:w="180"/>
            <w:tcBorders>
              <w:top w:val="none" w:color="FFFFFF" w:sz="0"/>
              <w:left w:val="none" w:color="FFFFFF" w:sz="0"/>
              <w:bottom w:val="none" w:color="FFFFFF" w:sz="0"/>
              <w:right w:val="none" w:color="FFFFFF" w:sz="0"/>
            </w:tcBorders>
          </w:tcPr>
          <w:p/>
        </w:tc>
        <w:tc>
          <w:tcPr>
            <w:tcW w:type="dxa" w:w="432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none" w:color="FFFFFF" w:sz="0"/>
                    <w:left w:val="none" w:color="FFFFFF" w:sz="0"/>
                    <w:bottom w:val="none" w:color="FFFFFF" w:sz="0"/>
                    <w:right w:val="none" w:color="FFFFFF" w:sz="0"/>
                  </w:tcBorders>
                  <w:shd w:fill="F3F4F6" w:val="clear"/>
                  <w:tcMar>
                    <w:top w:type="dxa" w:w="200"/>
                    <w:left w:type="dxa" w:w="200"/>
                    <w:bottom w:type="dxa" w:w="0"/>
                    <w:right w:type="dxa" w:w="200"/>
                  </w:tcMar>
                </w:tcPr>
                <w:p>
                  <w:pPr>
                    <w:spacing w:after="0" w:before="0"/>
                    <w:jc w:val="center"/>
                  </w:pPr>
                  <w:r>
                    <w:rPr>
                      <w:rFonts w:ascii="Arial" w:cs="Arial" w:eastAsia="Arial" w:hAnsi="Arial"/>
                      <w:b/>
                      <w:bCs/>
                      <w:color w:val="7C3AED"/>
                      <w:sz w:val="28"/>
                      <w:szCs w:val="28"/>
                    </w:rPr>
                    <w:t xml:space="preserve">Trial</w:t>
                  </w:r>
                </w:p>
              </w:tc>
            </w:tr>
            <w:tr>
              <w:tc>
                <w:tcPr>
                  <w:tcW w:type="dxa" w:w="4320"/>
                  <w:tcBorders>
                    <w:top w:val="none" w:color="FFFFFF" w:sz="0"/>
                    <w:left w:val="none" w:color="FFFFFF" w:sz="0"/>
                    <w:bottom w:val="none" w:color="FFFFFF" w:sz="0"/>
                    <w:right w:val="none" w:color="FFFFFF" w:sz="0"/>
                  </w:tcBorders>
                  <w:shd w:fill="F3F4F6" w:val="clear"/>
                  <w:tcMar>
                    <w:top w:type="dxa" w:w="80"/>
                    <w:left w:type="dxa" w:w="200"/>
                    <w:bottom w:type="dxa" w:w="0"/>
                    <w:right w:type="dxa" w:w="200"/>
                  </w:tcMar>
                </w:tcPr>
                <w:p>
                  <w:pPr>
                    <w:spacing w:after="0" w:before="0"/>
                    <w:jc w:val="center"/>
                  </w:pPr>
                  <w:r>
                    <w:rPr>
                      <w:rFonts w:ascii="Arial" w:cs="Arial" w:eastAsia="Arial" w:hAnsi="Arial"/>
                      <w:b/>
                      <w:bCs/>
                      <w:color w:val="111827"/>
                      <w:sz w:val="48"/>
                      <w:szCs w:val="48"/>
                    </w:rPr>
                    <w:t xml:space="preserve">Free</w:t>
                  </w:r>
                  <w:r>
                    <w:rPr>
                      <w:rFonts w:ascii="Arial" w:cs="Arial" w:eastAsia="Arial" w:hAnsi="Arial"/>
                      <w:color w:val="6B7280"/>
                      <w:sz w:val="22"/>
                      <w:szCs w:val="22"/>
                    </w:rPr>
                    <w:t xml:space="preserve"> 7 days</w:t>
                  </w:r>
                </w:p>
              </w:tc>
            </w:tr>
            <w:tr>
              <w:tc>
                <w:tcPr>
                  <w:tcW w:type="dxa" w:w="4320"/>
                  <w:tcBorders>
                    <w:top w:val="none" w:color="FFFFFF" w:sz="0"/>
                    <w:left w:val="none" w:color="FFFFFF" w:sz="0"/>
                    <w:bottom w:val="none" w:color="FFFFFF" w:sz="0"/>
                    <w:right w:val="none" w:color="FFFFFF" w:sz="0"/>
                  </w:tcBorders>
                  <w:shd w:fill="F3F4F6" w:val="clear"/>
                  <w:tcMar>
                    <w:top w:type="dxa" w:w="60"/>
                    <w:left w:type="dxa" w:w="200"/>
                    <w:bottom w:type="dxa" w:w="100"/>
                    <w:right w:type="dxa" w:w="200"/>
                  </w:tcMar>
                </w:tcPr>
                <w:p>
                  <w:pPr>
                    <w:spacing w:after="0" w:before="0"/>
                    <w:jc w:val="center"/>
                  </w:pPr>
                  <w:r>
                    <w:rPr>
                      <w:rFonts w:ascii="Arial" w:cs="Arial" w:eastAsia="Arial" w:hAnsi="Arial"/>
                      <w:i/>
                      <w:iCs/>
                      <w:color w:val="6B7280"/>
                      <w:sz w:val="20"/>
                      <w:szCs w:val="20"/>
                    </w:rPr>
                    <w:t xml:space="preserve">Full Pro access, no credit card</w:t>
                  </w:r>
                </w:p>
              </w:tc>
            </w:tr>
            <w:tr>
              <w:tc>
                <w:tcPr>
                  <w:tcW w:type="dxa" w:w="4320"/>
                  <w:tcBorders>
                    <w:top w:val="none" w:color="FFFFFF" w:sz="0"/>
                    <w:left w:val="none" w:color="FFFFFF" w:sz="0"/>
                    <w:bottom w:val="none" w:color="FFFFFF" w:sz="0"/>
                    <w:right w:val="none" w:color="FFFFFF" w:sz="0"/>
                  </w:tcBorders>
                  <w:shd w:fill="F3F4F6" w:val="clear"/>
                  <w:tcMar>
                    <w:top w:type="dxa" w:w="0"/>
                    <w:left w:type="dxa" w:w="200"/>
                    <w:bottom w:type="dxa" w:w="0"/>
                    <w:right w:type="dxa" w:w="200"/>
                  </w:tcMar>
                </w:tcPr>
                <w:p>
                  <w:pPr>
                    <w:pBdr>
                      <w:bottom w:val="single" w:color="E5E7EB" w:sz="2" w:space="1"/>
                    </w:pBdr>
                    <w:spacing w:after="100" w:before="0"/>
                  </w:pP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Complete Pro feature access</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No credit card required</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7 calendar days</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Converts to Standard or Pro</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All data sources included</w:t>
                  </w:r>
                </w:p>
              </w:tc>
            </w:tr>
            <w:tr>
              <w:tc>
                <w:tcPr>
                  <w:tcW w:type="dxa" w:w="4320"/>
                  <w:tcBorders>
                    <w:top w:val="none" w:color="FFFFFF" w:sz="0"/>
                    <w:left w:val="none" w:color="FFFFFF" w:sz="0"/>
                    <w:bottom w:val="none" w:color="FFFFFF" w:sz="0"/>
                    <w:right w:val="none" w:color="FFFFFF" w:sz="0"/>
                  </w:tcBorders>
                  <w:shd w:fill="F3F4F6" w:val="clear"/>
                  <w:tcMar>
                    <w:top w:type="dxa" w:w="40"/>
                    <w:left w:type="dxa" w:w="200"/>
                    <w:bottom w:type="dxa" w:w="40"/>
                    <w:right w:type="dxa" w:w="200"/>
                  </w:tcMar>
                </w:tcPr>
                <w:p>
                  <w:pPr>
                    <w:spacing w:after="0" w:before="0"/>
                  </w:pPr>
                  <w:r>
                    <w:rPr>
                      <w:rFonts w:ascii="Arial" w:cs="Arial" w:eastAsia="Arial" w:hAnsi="Arial"/>
                      <w:b/>
                      <w:bCs/>
                      <w:color w:val="059669"/>
                      <w:sz w:val="20"/>
                      <w:szCs w:val="20"/>
                    </w:rPr>
                    <w:t xml:space="preserve">✓  </w:t>
                  </w:r>
                  <w:r>
                    <w:rPr>
                      <w:rFonts w:ascii="Arial" w:cs="Arial" w:eastAsia="Arial" w:hAnsi="Arial"/>
                      <w:color w:val="111827"/>
                      <w:sz w:val="20"/>
                      <w:szCs w:val="20"/>
                    </w:rPr>
                    <w:t xml:space="preserve">Full AI council (all 6 stages)</w:t>
                  </w:r>
                </w:p>
              </w:tc>
            </w:tr>
            <w:tr>
              <w:tc>
                <w:tcPr>
                  <w:tcW w:type="dxa" w:w="4320"/>
                  <w:tcBorders>
                    <w:top w:val="none" w:color="FFFFFF" w:sz="0"/>
                    <w:left w:val="none" w:color="FFFFFF" w:sz="0"/>
                    <w:bottom w:val="none" w:color="FFFFFF" w:sz="0"/>
                    <w:right w:val="none" w:color="FFFFFF" w:sz="0"/>
                  </w:tcBorders>
                  <w:shd w:fill="F3F4F6" w:val="clear"/>
                  <w:tcMar>
                    <w:top w:type="dxa" w:w="0"/>
                    <w:left w:type="dxa" w:w="200"/>
                    <w:bottom w:type="dxa" w:w="200"/>
                    <w:right w:type="dxa" w:w="200"/>
                  </w:tcMar>
                </w:tcPr>
                <w:p>
                  <w:pPr>
                    <w:spacing w:after="0" w:before="0"/>
                  </w:pPr>
                </w:p>
              </w:tc>
            </w:tr>
          </w:tbl>
          <w:p/>
        </w:tc>
      </w:tr>
    </w:tbl>
    <w:p>
      <w:pPr>
        <w:spacing w:after="0" w:before="160"/>
      </w:pPr>
    </w:p>
    <w:p>
      <w:pPr>
        <w:spacing w:after="160" w:before="80"/>
      </w:pPr>
      <w:r>
        <w:rPr>
          <w:rFonts w:ascii="Arial" w:cs="Arial" w:eastAsia="Arial" w:hAnsi="Arial"/>
          <w:sz w:val="22"/>
          <w:szCs w:val="22"/>
        </w:rPr>
        <w:t xml:space="preserve">💡  </w:t>
      </w:r>
      <w:r>
        <w:rPr>
          <w:rFonts w:ascii="Arial" w:cs="Arial" w:eastAsia="Arial" w:hAnsi="Arial"/>
          <w:b/>
          <w:bCs/>
          <w:color w:val="7C3AED"/>
          <w:sz w:val="22"/>
          <w:szCs w:val="22"/>
        </w:rPr>
        <w:t xml:space="preserve">Annual plans available: </w:t>
      </w:r>
      <w:r>
        <w:rPr>
          <w:rFonts w:ascii="Arial" w:cs="Arial" w:eastAsia="Arial" w:hAnsi="Arial"/>
          <w:color w:val="6B7280"/>
          <w:sz w:val="22"/>
          <w:szCs w:val="22"/>
        </w:rPr>
        <w:t xml:space="preserve">Standard $290/year (save $58) · Pro $490/year (save $98). Contact us for team or institutional pricing.</w:t>
      </w:r>
    </w:p>
    <w:p>
      <w:pPr>
        <w:pBdr>
          <w:bottom w:val="single" w:color="E5E7EB" w:sz="4" w:space="1"/>
        </w:pBdr>
        <w:spacing w:after="240" w:before="160"/>
      </w:pPr>
    </w:p>
    <w:p>
      <w:pPr>
        <w:spacing w:after="120" w:before="320"/>
      </w:pPr>
      <w:r>
        <w:rPr>
          <w:rFonts w:ascii="Arial" w:cs="Arial" w:eastAsia="Arial" w:hAnsi="Arial"/>
          <w:b/>
          <w:bCs/>
          <w:caps/>
          <w:color w:val="7C3AED"/>
          <w:sz w:val="18"/>
          <w:szCs w:val="18"/>
        </w:rPr>
        <w:t xml:space="preserve">FEATURE COMPARISON</w:t>
      </w:r>
    </w:p>
    <w:p>
      <w:pPr>
        <w:spacing w:after="160" w:before="80"/>
      </w:pPr>
      <w:r>
        <w:rPr>
          <w:rFonts w:ascii="Arial" w:cs="Arial" w:eastAsia="Arial" w:hAnsi="Arial"/>
          <w:color w:val="6B7280"/>
          <w:sz w:val="22"/>
          <w:szCs w:val="22"/>
        </w:rPr>
        <w:t xml:space="preserve">Full breakdown of what's included in each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1580"/>
        <w:gridCol w:w="1560"/>
        <w:gridCol w:w="1460"/>
      </w:tblGrid>
      <w:tr>
        <w:tc>
          <w:tcPr>
            <w:tcW w:type="dxa" w:w="476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Feature</w:t>
            </w:r>
          </w:p>
        </w:tc>
        <w:tc>
          <w:tcPr>
            <w:tcW w:type="dxa" w:w="158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Trial</w:t>
            </w:r>
          </w:p>
        </w:tc>
        <w:tc>
          <w:tcPr>
            <w:tcW w:type="dxa" w:w="156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Standard</w:t>
            </w:r>
          </w:p>
        </w:tc>
        <w:tc>
          <w:tcPr>
            <w:tcW w:type="dxa" w:w="146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vAlign w:val="center"/>
          </w:tcPr>
          <w:p>
            <w:pPr>
              <w:spacing w:after="0" w:before="0"/>
              <w:jc w:val="center"/>
            </w:pPr>
            <w:r>
              <w:rPr>
                <w:rFonts w:ascii="Arial" w:cs="Arial" w:eastAsia="Arial" w:hAnsi="Arial"/>
                <w:b/>
                <w:bCs/>
                <w:color w:val="FFFFFF"/>
                <w:sz w:val="20"/>
                <w:szCs w:val="20"/>
              </w:rPr>
              <w:t xml:space="preserve">Pro</w:t>
            </w:r>
          </w:p>
        </w:tc>
      </w:tr>
      <w:tr>
        <w:tc>
          <w:tcPr>
            <w:tcW w:type="dxa" w:w="9360"/>
            <w:gridSpan w:val="4"/>
            <w:tcBorders>
              <w:top w:val="single" w:color="7C3AED" w:sz="1"/>
              <w:left w:val="single" w:color="7C3AED" w:sz="1"/>
              <w:bottom w:val="single" w:color="7C3AED" w:sz="1"/>
              <w:right w:val="single" w:color="7C3AED" w:sz="1"/>
            </w:tcBorders>
            <w:shd w:fill="DDD6FE" w:val="clear"/>
            <w:tcMar>
              <w:top w:type="dxa" w:w="80"/>
              <w:left w:type="dxa" w:w="140"/>
              <w:bottom w:type="dxa" w:w="80"/>
              <w:right w:type="dxa" w:w="140"/>
            </w:tcMar>
          </w:tcPr>
          <w:p>
            <w:pPr>
              <w:spacing w:after="0" w:before="0"/>
            </w:pPr>
            <w:r>
              <w:rPr>
                <w:rFonts w:ascii="Arial" w:cs="Arial" w:eastAsia="Arial" w:hAnsi="Arial"/>
                <w:b/>
                <w:bCs/>
                <w:color w:val="7C3AED"/>
                <w:sz w:val="20"/>
                <w:szCs w:val="20"/>
              </w:rPr>
              <w:t xml:space="preserve">CORE ANALYSIS</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6-Stage AI council debate</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Unlimited analyses per day</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All timeframes (1D / 1W / 1M / 3M)</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Stock &amp; options analysis</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Crypto &amp; forex support</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Compare mode (2 tickers side-by-side)</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Plain-English verdict for beginners</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9360"/>
            <w:gridSpan w:val="4"/>
            <w:tcBorders>
              <w:top w:val="single" w:color="7C3AED" w:sz="1"/>
              <w:left w:val="single" w:color="7C3AED" w:sz="1"/>
              <w:bottom w:val="single" w:color="7C3AED" w:sz="1"/>
              <w:right w:val="single" w:color="7C3AED" w:sz="1"/>
            </w:tcBorders>
            <w:shd w:fill="DDD6FE" w:val="clear"/>
            <w:tcMar>
              <w:top w:type="dxa" w:w="80"/>
              <w:left w:type="dxa" w:w="140"/>
              <w:bottom w:type="dxa" w:w="80"/>
              <w:right w:type="dxa" w:w="140"/>
            </w:tcMar>
          </w:tcPr>
          <w:p>
            <w:pPr>
              <w:spacing w:after="0" w:before="0"/>
            </w:pPr>
            <w:r>
              <w:rPr>
                <w:rFonts w:ascii="Arial" w:cs="Arial" w:eastAsia="Arial" w:hAnsi="Arial"/>
                <w:b/>
                <w:bCs/>
                <w:color w:val="7C3AED"/>
                <w:sz w:val="20"/>
                <w:szCs w:val="20"/>
              </w:rPr>
              <w:t xml:space="preserve">DATA &amp; INTELLIGENCE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Real-time price &amp; volume data</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15+ technical indicators</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Options flow &amp; Greeks (live)</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SEC EDGAR verified fundamentals</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1D5DB"/>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8-K / Form 4 / 13-F filing alerts</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1D5DB"/>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Congressional trade monitoring</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1D5DB"/>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Legislative bill intelligence</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1D5DB"/>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Macro Intelligence engine</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1D5DB"/>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Pre-market daily brief</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9360"/>
            <w:gridSpan w:val="4"/>
            <w:tcBorders>
              <w:top w:val="single" w:color="7C3AED" w:sz="1"/>
              <w:left w:val="single" w:color="7C3AED" w:sz="1"/>
              <w:bottom w:val="single" w:color="7C3AED" w:sz="1"/>
              <w:right w:val="single" w:color="7C3AED" w:sz="1"/>
            </w:tcBorders>
            <w:shd w:fill="DDD6FE" w:val="clear"/>
            <w:tcMar>
              <w:top w:type="dxa" w:w="80"/>
              <w:left w:type="dxa" w:w="140"/>
              <w:bottom w:type="dxa" w:w="80"/>
              <w:right w:type="dxa" w:w="140"/>
            </w:tcMar>
          </w:tcPr>
          <w:p>
            <w:pPr>
              <w:spacing w:after="0" w:before="0"/>
            </w:pPr>
            <w:r>
              <w:rPr>
                <w:rFonts w:ascii="Arial" w:cs="Arial" w:eastAsia="Arial" w:hAnsi="Arial"/>
                <w:b/>
                <w:bCs/>
                <w:color w:val="7C3AED"/>
                <w:sz w:val="20"/>
                <w:szCs w:val="20"/>
              </w:rPr>
              <w:t xml:space="preserve">PORTFOLIO &amp; JOURNAL</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Portfolio tracking</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Max portfolio positions</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1D5DB"/>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1D5DB"/>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1D5DB"/>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Stock &amp; options positions</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Trade journal</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AI post-mortems with grade</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Position health check (stay/exit/watch)</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Options health check with live Greeks</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1D5DB"/>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Dividend tracking &amp; DRIP</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val="false"/>
                <w:bCs w:val="false"/>
                <w:color w:val="D1D5DB"/>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r>
        <w:tc>
          <w:tcPr>
            <w:tcW w:type="dxa" w:w="4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spacing w:after="0" w:before="0"/>
              <w:jc w:val="left"/>
            </w:pPr>
            <w:r>
              <w:rPr>
                <w:rFonts w:ascii="Arial" w:cs="Arial" w:eastAsia="Arial" w:hAnsi="Arial"/>
                <w:b w:val="false"/>
                <w:bCs w:val="false"/>
                <w:color w:val="111827"/>
                <w:sz w:val="20"/>
                <w:szCs w:val="20"/>
              </w:rPr>
              <w:t xml:space="preserve">Reinvestment tracker</w:t>
            </w:r>
          </w:p>
        </w:tc>
        <w:tc>
          <w:tcPr>
            <w:tcW w:type="dxa" w:w="158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5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c>
          <w:tcPr>
            <w:tcW w:type="dxa" w:w="1460"/>
            <w:tcBorders>
              <w:top w:val="single" w:color="E5E7EB" w:sz="1"/>
              <w:left w:val="single" w:color="E5E7EB" w:sz="1"/>
              <w:bottom w:val="single" w:color="E5E7EB" w:sz="1"/>
              <w:right w:val="single" w:color="E5E7EB" w:sz="1"/>
            </w:tcBorders>
            <w:tcMar>
              <w:top w:type="dxa" w:w="100"/>
              <w:left w:type="dxa" w:w="140"/>
              <w:bottom w:type="dxa" w:w="100"/>
              <w:right w:type="dxa" w:w="140"/>
            </w:tcMar>
            <w:vAlign w:val="center"/>
          </w:tcPr>
          <w:p>
            <w:pPr>
              <w:spacing w:after="0" w:before="0"/>
              <w:jc w:val="center"/>
            </w:pPr>
            <w:r>
              <w:rPr>
                <w:rFonts w:ascii="Arial" w:cs="Arial" w:eastAsia="Arial" w:hAnsi="Arial"/>
                <w:b/>
                <w:bCs/>
                <w:color w:val="059669"/>
                <w:sz w:val="22"/>
                <w:szCs w:val="22"/>
              </w:rPr>
              <w:t xml:space="preserve">✓</w:t>
            </w:r>
          </w:p>
        </w:tc>
      </w:tr>
    </w:tbl>
    <w:p>
      <w:pPr>
        <w:pBdr>
          <w:bottom w:val="single" w:color="E5E7EB" w:sz="4" w:space="1"/>
        </w:pBdr>
        <w:spacing w:after="200" w:before="240"/>
      </w:pPr>
    </w:p>
    <w:p>
      <w:pPr>
        <w:spacing w:after="120" w:before="320"/>
      </w:pPr>
      <w:r>
        <w:rPr>
          <w:rFonts w:ascii="Arial" w:cs="Arial" w:eastAsia="Arial" w:hAnsi="Arial"/>
          <w:b/>
          <w:bCs/>
          <w:caps/>
          <w:color w:val="7C3AED"/>
          <w:sz w:val="18"/>
          <w:szCs w:val="18"/>
        </w:rPr>
        <w:t xml:space="preserve">HOW WALI-OS COMPARES</w:t>
      </w:r>
    </w:p>
    <w:p>
      <w:pPr>
        <w:spacing w:after="160" w:before="80"/>
      </w:pPr>
      <w:r>
        <w:rPr>
          <w:rFonts w:ascii="Arial" w:cs="Arial" w:eastAsia="Arial" w:hAnsi="Arial"/>
          <w:color w:val="6B7280"/>
          <w:sz w:val="22"/>
          <w:szCs w:val="22"/>
        </w:rPr>
        <w:t xml:space="preserve">What you'd pay to get the same capabilities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860"/>
      </w:tblGrid>
      <w:tr>
        <w:tc>
          <w:tcPr>
            <w:tcW w:type="dxa" w:w="3500"/>
            <w:tcBorders>
              <w:top w:val="single" w:color="E5E7EB" w:sz="1"/>
              <w:left w:val="single" w:color="E5E7EB" w:sz="1"/>
              <w:bottom w:val="single" w:color="E5E7EB" w:sz="1"/>
              <w:right w:val="single" w:color="E5E7EB" w:sz="1"/>
            </w:tcBorders>
            <w:shd w:fill="1E1B2E"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Capability</w:t>
            </w:r>
          </w:p>
        </w:tc>
        <w:tc>
          <w:tcPr>
            <w:tcW w:type="dxa" w:w="2500"/>
            <w:tcBorders>
              <w:top w:val="single" w:color="E5E7EB" w:sz="1"/>
              <w:left w:val="single" w:color="E5E7EB" w:sz="1"/>
              <w:bottom w:val="single" w:color="E5E7EB" w:sz="1"/>
              <w:right w:val="single" w:color="E5E7EB" w:sz="1"/>
            </w:tcBorders>
            <w:shd w:fill="1E1B2E"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Retail Alternative</w:t>
            </w:r>
          </w:p>
        </w:tc>
        <w:tc>
          <w:tcPr>
            <w:tcW w:type="dxa" w:w="2860"/>
            <w:tcBorders>
              <w:top w:val="single" w:color="E5E7EB" w:sz="1"/>
              <w:left w:val="single" w:color="E5E7EB" w:sz="1"/>
              <w:bottom w:val="single" w:color="E5E7EB" w:sz="1"/>
              <w:right w:val="single" w:color="E5E7EB" w:sz="1"/>
            </w:tcBorders>
            <w:shd w:fill="1E1B2E" w:val="clear"/>
            <w:tcMar>
              <w:top w:type="dxa" w:w="100"/>
              <w:left w:type="dxa" w:w="140"/>
              <w:bottom w:type="dxa" w:w="100"/>
              <w:right w:type="dxa" w:w="140"/>
            </w:tcMar>
            <w:vAlign w:val="center"/>
          </w:tcPr>
          <w:p>
            <w:pPr>
              <w:spacing w:after="0" w:before="0"/>
              <w:jc w:val="left"/>
            </w:pPr>
            <w:r>
              <w:rPr>
                <w:rFonts w:ascii="Arial" w:cs="Arial" w:eastAsia="Arial" w:hAnsi="Arial"/>
                <w:b/>
                <w:bCs/>
                <w:color w:val="FFFFFF"/>
                <w:sz w:val="20"/>
                <w:szCs w:val="20"/>
              </w:rPr>
              <w:t xml:space="preserve">Monthly Cost</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AI analysis platform</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6B7280"/>
                <w:sz w:val="20"/>
                <w:szCs w:val="20"/>
              </w:rPr>
              <w:t xml:space="preserve">Trade Ideas, Tickeron</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DC2626"/>
                <w:sz w:val="20"/>
                <w:szCs w:val="20"/>
              </w:rPr>
              <w:t xml:space="preserve">$99–$179/mo</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Options flow &amp; Greeks</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6B7280"/>
                <w:sz w:val="20"/>
                <w:szCs w:val="20"/>
              </w:rPr>
              <w:t xml:space="preserve">Market Chameleon, Unusual Whales</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DC2626"/>
                <w:sz w:val="20"/>
                <w:szCs w:val="20"/>
              </w:rPr>
              <w:t xml:space="preserve">$47–$97/mo</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Legislative intelligence</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6B7280"/>
                <w:sz w:val="20"/>
                <w:szCs w:val="20"/>
              </w:rPr>
              <w:t xml:space="preserve">Bloomberg Government, Politico Pro</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DC2626"/>
                <w:sz w:val="20"/>
                <w:szCs w:val="20"/>
              </w:rPr>
              <w:t xml:space="preserve">$300+/mo</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SEC filing alerts (institutional grade)</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6B7280"/>
                <w:sz w:val="20"/>
                <w:szCs w:val="20"/>
              </w:rPr>
              <w:t xml:space="preserve">Sentieo, AlphaSense</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DC2626"/>
                <w:sz w:val="20"/>
                <w:szCs w:val="20"/>
              </w:rPr>
              <w:t xml:space="preserve">$200+/mo</w:t>
            </w:r>
          </w:p>
        </w:tc>
      </w:tr>
      <w:tr>
        <w:tc>
          <w:tcPr>
            <w:tcW w:type="dxa" w:w="3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Congressional trade monitoring</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6B7280"/>
                <w:sz w:val="20"/>
                <w:szCs w:val="20"/>
              </w:rPr>
              <w:t xml:space="preserve">Quiver Quantitative</w:t>
            </w:r>
          </w:p>
        </w:tc>
        <w:tc>
          <w:tcPr>
            <w:tcW w:type="dxa" w:w="28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0" w:before="0"/>
            </w:pPr>
            <w:r>
              <w:rPr>
                <w:rFonts w:ascii="Arial" w:cs="Arial" w:eastAsia="Arial" w:hAnsi="Arial"/>
                <w:color w:val="DC2626"/>
                <w:sz w:val="20"/>
                <w:szCs w:val="20"/>
              </w:rPr>
              <w:t xml:space="preserve">$20/mo</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111827"/>
                <w:sz w:val="20"/>
                <w:szCs w:val="20"/>
              </w:rPr>
              <w:t xml:space="preserve">Macro intelligence (geopolitical)</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6B7280"/>
                <w:sz w:val="20"/>
                <w:szCs w:val="20"/>
              </w:rPr>
              <w:t xml:space="preserve">Geo-Quant, Exante Data</w:t>
            </w:r>
          </w:p>
        </w:tc>
        <w:tc>
          <w:tcPr>
            <w:tcW w:type="dxa" w:w="2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color w:val="DC2626"/>
                <w:sz w:val="20"/>
                <w:szCs w:val="20"/>
              </w:rPr>
              <w:t xml:space="preserve">$500+/mo</w:t>
            </w:r>
          </w:p>
        </w:tc>
      </w:tr>
      <w:tr>
        <w:tc>
          <w:tcPr>
            <w:tcW w:type="dxa" w:w="35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before="0"/>
            </w:pPr>
            <w:r>
              <w:rPr>
                <w:rFonts w:ascii="Arial" w:cs="Arial" w:eastAsia="Arial" w:hAnsi="Arial"/>
                <w:b/>
                <w:bCs/>
                <w:color w:val="D97706"/>
                <w:sz w:val="20"/>
                <w:szCs w:val="20"/>
              </w:rPr>
              <w:t xml:space="preserve">Total for comparable coverage</w:t>
            </w:r>
          </w:p>
        </w:tc>
        <w:tc>
          <w:tcPr>
            <w:tcW w:type="dxa" w:w="250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before="0"/>
            </w:pPr>
            <w:r>
              <w:rPr>
                <w:rFonts w:ascii="Arial" w:cs="Arial" w:eastAsia="Arial" w:hAnsi="Arial"/>
                <w:color w:val="6B7280"/>
                <w:sz w:val="20"/>
                <w:szCs w:val="20"/>
              </w:rPr>
              <w:t xml:space="preserve"/>
            </w:r>
          </w:p>
        </w:tc>
        <w:tc>
          <w:tcPr>
            <w:tcW w:type="dxa" w:w="2860"/>
            <w:tcBorders>
              <w:top w:val="single" w:color="E5E7EB" w:sz="1"/>
              <w:left w:val="single" w:color="E5E7EB" w:sz="1"/>
              <w:bottom w:val="single" w:color="E5E7EB" w:sz="1"/>
              <w:right w:val="single" w:color="E5E7EB" w:sz="1"/>
            </w:tcBorders>
            <w:shd w:fill="FEF3C7" w:val="clear"/>
            <w:tcMar>
              <w:top w:type="dxa" w:w="100"/>
              <w:left w:type="dxa" w:w="140"/>
              <w:bottom w:type="dxa" w:w="100"/>
              <w:right w:type="dxa" w:w="140"/>
            </w:tcMar>
          </w:tcPr>
          <w:p>
            <w:pPr>
              <w:spacing w:after="0" w:before="0"/>
            </w:pPr>
            <w:r>
              <w:rPr>
                <w:rFonts w:ascii="Arial" w:cs="Arial" w:eastAsia="Arial" w:hAnsi="Arial"/>
                <w:b/>
                <w:bCs/>
                <w:color w:val="D97706"/>
                <w:sz w:val="20"/>
                <w:szCs w:val="20"/>
              </w:rPr>
              <w:t xml:space="preserve">$1,166–$1,096+/mo</w:t>
            </w:r>
          </w:p>
        </w:tc>
      </w:tr>
      <w:tr>
        <w:tc>
          <w:tcPr>
            <w:tcW w:type="dxa" w:w="35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tcPr>
          <w:p>
            <w:pPr>
              <w:spacing w:after="0" w:before="0"/>
            </w:pPr>
            <w:r>
              <w:rPr>
                <w:rFonts w:ascii="Arial" w:cs="Arial" w:eastAsia="Arial" w:hAnsi="Arial"/>
                <w:b/>
                <w:bCs/>
                <w:color w:val="7C3AED"/>
                <w:sz w:val="20"/>
                <w:szCs w:val="20"/>
              </w:rPr>
              <w:t xml:space="preserve">Wali-OS Pro</w:t>
            </w:r>
          </w:p>
        </w:tc>
        <w:tc>
          <w:tcPr>
            <w:tcW w:type="dxa" w:w="250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tcPr>
          <w:p>
            <w:pPr>
              <w:spacing w:after="0" w:before="0"/>
            </w:pPr>
            <w:r>
              <w:rPr>
                <w:rFonts w:ascii="Arial" w:cs="Arial" w:eastAsia="Arial" w:hAnsi="Arial"/>
                <w:color w:val="6B7280"/>
                <w:sz w:val="20"/>
                <w:szCs w:val="20"/>
              </w:rPr>
              <w:t xml:space="preserve"/>
            </w:r>
          </w:p>
        </w:tc>
        <w:tc>
          <w:tcPr>
            <w:tcW w:type="dxa" w:w="2860"/>
            <w:tcBorders>
              <w:top w:val="single" w:color="E5E7EB" w:sz="1"/>
              <w:left w:val="single" w:color="E5E7EB" w:sz="1"/>
              <w:bottom w:val="single" w:color="E5E7EB" w:sz="1"/>
              <w:right w:val="single" w:color="E5E7EB" w:sz="1"/>
            </w:tcBorders>
            <w:shd w:fill="EDE9FE" w:val="clear"/>
            <w:tcMar>
              <w:top w:type="dxa" w:w="100"/>
              <w:left w:type="dxa" w:w="140"/>
              <w:bottom w:type="dxa" w:w="100"/>
              <w:right w:type="dxa" w:w="140"/>
            </w:tcMar>
          </w:tcPr>
          <w:p>
            <w:pPr>
              <w:spacing w:after="0" w:before="0"/>
            </w:pPr>
            <w:r>
              <w:rPr>
                <w:rFonts w:ascii="Arial" w:cs="Arial" w:eastAsia="Arial" w:hAnsi="Arial"/>
                <w:b/>
                <w:bCs/>
                <w:color w:val="7C3AED"/>
                <w:sz w:val="22"/>
                <w:szCs w:val="22"/>
              </w:rPr>
              <w:t xml:space="preserve">$49/mo</w:t>
            </w:r>
          </w:p>
        </w:tc>
      </w:tr>
    </w:tbl>
    <w:p>
      <w:pPr>
        <w:pBdr>
          <w:bottom w:val="single" w:color="E5E7EB" w:sz="4" w:space="1"/>
        </w:pBdr>
        <w:spacing w:after="200" w:before="240"/>
      </w:pPr>
    </w:p>
    <w:p>
      <w:pPr>
        <w:spacing w:after="120" w:before="320"/>
      </w:pPr>
      <w:r>
        <w:rPr>
          <w:rFonts w:ascii="Arial" w:cs="Arial" w:eastAsia="Arial" w:hAnsi="Arial"/>
          <w:b/>
          <w:bCs/>
          <w:caps/>
          <w:color w:val="7C3AED"/>
          <w:sz w:val="18"/>
          <w:szCs w:val="18"/>
        </w:rPr>
        <w:t xml:space="preserve">GETTING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160"/>
        <w:gridCol w:w="180"/>
        <w:gridCol w:w="700"/>
        <w:gridCol w:w="3520"/>
      </w:tblGrid>
      <w:tr>
        <w:tc>
          <w:tcPr>
            <w:tcW w:type="dxa" w:w="70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b/>
                <w:bCs/>
                <w:color w:val="7C3AED"/>
                <w:sz w:val="48"/>
                <w:szCs w:val="48"/>
              </w:rPr>
              <w:t xml:space="preserve">01</w:t>
            </w:r>
          </w:p>
        </w:tc>
        <w:tc>
          <w:tcPr>
            <w:tcW w:type="dxa" w:w="4160"/>
            <w:tcBorders>
              <w:top w:val="none" w:color="FFFFFF" w:sz="0"/>
              <w:left w:val="none" w:color="FFFFFF" w:sz="0"/>
              <w:bottom w:val="none" w:color="FFFFFF" w:sz="0"/>
              <w:right w:val="none" w:color="FFFFFF" w:sz="0"/>
            </w:tcBorders>
            <w:tcMar>
              <w:top w:type="dxa" w:w="0"/>
              <w:left w:type="dxa" w:w="140"/>
              <w:bottom w:type="dxa" w:w="0"/>
              <w:right w:type="dxa" w:w="140"/>
            </w:tcMar>
          </w:tcPr>
          <w:p>
            <w:pPr>
              <w:spacing w:after="40" w:before="60"/>
            </w:pPr>
            <w:r>
              <w:rPr>
                <w:rFonts w:ascii="Arial" w:cs="Arial" w:eastAsia="Arial" w:hAnsi="Arial"/>
                <w:b/>
                <w:bCs/>
                <w:color w:val="111827"/>
                <w:sz w:val="24"/>
                <w:szCs w:val="24"/>
              </w:rPr>
              <w:t xml:space="preserve">Sign up at wali-os.com</w:t>
            </w:r>
          </w:p>
          <w:p>
            <w:pPr>
              <w:spacing w:after="60" w:before="0"/>
            </w:pPr>
            <w:r>
              <w:rPr>
                <w:rFonts w:ascii="Arial" w:cs="Arial" w:eastAsia="Arial" w:hAnsi="Arial"/>
                <w:color w:val="6B7280"/>
                <w:sz w:val="20"/>
                <w:szCs w:val="20"/>
              </w:rPr>
              <w:t xml:space="preserve">No credit card required. Full Pro access for 7 days.</w:t>
            </w:r>
          </w:p>
        </w:tc>
        <w:tc>
          <w:tcPr>
            <w:tcW w:type="dxa" w:w="180"/>
            <w:tcBorders>
              <w:top w:val="none" w:color="FFFFFF" w:sz="0"/>
              <w:left w:val="none" w:color="FFFFFF" w:sz="0"/>
              <w:bottom w:val="none" w:color="FFFFFF" w:sz="0"/>
              <w:right w:val="none" w:color="FFFFFF" w:sz="0"/>
            </w:tcBorders>
          </w:tcPr>
          <w:p/>
        </w:tc>
        <w:tc>
          <w:tcPr>
            <w:tcW w:type="dxa" w:w="70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b/>
                <w:bCs/>
                <w:color w:val="7C3AED"/>
                <w:sz w:val="48"/>
                <w:szCs w:val="48"/>
              </w:rPr>
              <w:t xml:space="preserve">02</w:t>
            </w:r>
          </w:p>
        </w:tc>
        <w:tc>
          <w:tcPr>
            <w:tcW w:type="dxa" w:w="3520"/>
            <w:tcBorders>
              <w:top w:val="none" w:color="FFFFFF" w:sz="0"/>
              <w:left w:val="none" w:color="FFFFFF" w:sz="0"/>
              <w:bottom w:val="none" w:color="FFFFFF" w:sz="0"/>
              <w:right w:val="none" w:color="FFFFFF" w:sz="0"/>
            </w:tcBorders>
            <w:tcMar>
              <w:top w:type="dxa" w:w="0"/>
              <w:left w:type="dxa" w:w="140"/>
              <w:bottom w:type="dxa" w:w="0"/>
              <w:right w:type="dxa" w:w="140"/>
            </w:tcMar>
          </w:tcPr>
          <w:p>
            <w:pPr>
              <w:spacing w:after="40" w:before="60"/>
            </w:pPr>
            <w:r>
              <w:rPr>
                <w:rFonts w:ascii="Arial" w:cs="Arial" w:eastAsia="Arial" w:hAnsi="Arial"/>
                <w:b/>
                <w:bCs/>
                <w:color w:val="111827"/>
                <w:sz w:val="24"/>
                <w:szCs w:val="24"/>
              </w:rPr>
              <w:t xml:space="preserve">Run your first analysis</w:t>
            </w:r>
          </w:p>
          <w:p>
            <w:pPr>
              <w:spacing w:after="60" w:before="0"/>
            </w:pPr>
            <w:r>
              <w:rPr>
                <w:rFonts w:ascii="Arial" w:cs="Arial" w:eastAsia="Arial" w:hAnsi="Arial"/>
                <w:color w:val="6B7280"/>
                <w:sz w:val="20"/>
                <w:szCs w:val="20"/>
              </w:rPr>
              <w:t xml:space="preserve">Type any ticker. Watch the 6-stage debate unfold in real time.</w:t>
            </w:r>
          </w:p>
        </w:tc>
      </w:tr>
      <w:tr>
        <w:tc>
          <w:tcPr>
            <w:tcW w:type="dxa" w:w="70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b/>
                <w:bCs/>
                <w:color w:val="7C3AED"/>
                <w:sz w:val="48"/>
                <w:szCs w:val="48"/>
              </w:rPr>
              <w:t xml:space="preserve">03</w:t>
            </w:r>
          </w:p>
        </w:tc>
        <w:tc>
          <w:tcPr>
            <w:tcW w:type="dxa" w:w="4160"/>
            <w:tcBorders>
              <w:top w:val="none" w:color="FFFFFF" w:sz="0"/>
              <w:left w:val="none" w:color="FFFFFF" w:sz="0"/>
              <w:bottom w:val="none" w:color="FFFFFF" w:sz="0"/>
              <w:right w:val="none" w:color="FFFFFF" w:sz="0"/>
            </w:tcBorders>
            <w:tcMar>
              <w:top w:type="dxa" w:w="0"/>
              <w:left w:type="dxa" w:w="140"/>
              <w:bottom w:type="dxa" w:w="0"/>
              <w:right w:type="dxa" w:w="140"/>
            </w:tcMar>
          </w:tcPr>
          <w:p>
            <w:pPr>
              <w:spacing w:after="40" w:before="60"/>
            </w:pPr>
            <w:r>
              <w:rPr>
                <w:rFonts w:ascii="Arial" w:cs="Arial" w:eastAsia="Arial" w:hAnsi="Arial"/>
                <w:b/>
                <w:bCs/>
                <w:color w:val="111827"/>
                <w:sz w:val="24"/>
                <w:szCs w:val="24"/>
              </w:rPr>
              <w:t xml:space="preserve">Add your holdings</w:t>
            </w:r>
          </w:p>
          <w:p>
            <w:pPr>
              <w:spacing w:after="60" w:before="0"/>
            </w:pPr>
            <w:r>
              <w:rPr>
                <w:rFonts w:ascii="Arial" w:cs="Arial" w:eastAsia="Arial" w:hAnsi="Arial"/>
                <w:color w:val="6B7280"/>
                <w:sz w:val="20"/>
                <w:szCs w:val="20"/>
              </w:rPr>
              <w:t xml:space="preserve">Stocks and options. Run a health check to see which positions need attention.</w:t>
            </w:r>
          </w:p>
        </w:tc>
        <w:tc>
          <w:tcPr>
            <w:tcW w:type="dxa" w:w="180"/>
            <w:tcBorders>
              <w:top w:val="none" w:color="FFFFFF" w:sz="0"/>
              <w:left w:val="none" w:color="FFFFFF" w:sz="0"/>
              <w:bottom w:val="none" w:color="FFFFFF" w:sz="0"/>
              <w:right w:val="none" w:color="FFFFFF" w:sz="0"/>
            </w:tcBorders>
          </w:tcPr>
          <w:p/>
        </w:tc>
        <w:tc>
          <w:tcPr>
            <w:tcW w:type="dxa" w:w="700"/>
            <w:tcBorders>
              <w:top w:val="none" w:color="FFFFFF" w:sz="0"/>
              <w:left w:val="none" w:color="FFFFFF" w:sz="0"/>
              <w:bottom w:val="none" w:color="FFFFFF" w:sz="0"/>
              <w:right w:val="none" w:color="FFFFFF" w:sz="0"/>
            </w:tcBorders>
            <w:vAlign w:val="center"/>
          </w:tcPr>
          <w:p>
            <w:pPr>
              <w:spacing w:after="0" w:before="0"/>
              <w:jc w:val="center"/>
            </w:pPr>
            <w:r>
              <w:rPr>
                <w:rFonts w:ascii="Arial" w:cs="Arial" w:eastAsia="Arial" w:hAnsi="Arial"/>
                <w:b/>
                <w:bCs/>
                <w:color w:val="7C3AED"/>
                <w:sz w:val="48"/>
                <w:szCs w:val="48"/>
              </w:rPr>
              <w:t xml:space="preserve">04</w:t>
            </w:r>
          </w:p>
        </w:tc>
        <w:tc>
          <w:tcPr>
            <w:tcW w:type="dxa" w:w="3520"/>
            <w:tcBorders>
              <w:top w:val="none" w:color="FFFFFF" w:sz="0"/>
              <w:left w:val="none" w:color="FFFFFF" w:sz="0"/>
              <w:bottom w:val="none" w:color="FFFFFF" w:sz="0"/>
              <w:right w:val="none" w:color="FFFFFF" w:sz="0"/>
            </w:tcBorders>
            <w:tcMar>
              <w:top w:type="dxa" w:w="0"/>
              <w:left w:type="dxa" w:w="140"/>
              <w:bottom w:type="dxa" w:w="0"/>
              <w:right w:type="dxa" w:w="140"/>
            </w:tcMar>
          </w:tcPr>
          <w:p>
            <w:pPr>
              <w:spacing w:after="40" w:before="60"/>
            </w:pPr>
            <w:r>
              <w:rPr>
                <w:rFonts w:ascii="Arial" w:cs="Arial" w:eastAsia="Arial" w:hAnsi="Arial"/>
                <w:b/>
                <w:bCs/>
                <w:color w:val="111827"/>
                <w:sz w:val="24"/>
                <w:szCs w:val="24"/>
              </w:rPr>
              <w:t xml:space="preserve">Choose your plan</w:t>
            </w:r>
          </w:p>
          <w:p>
            <w:pPr>
              <w:spacing w:after="60" w:before="0"/>
            </w:pPr>
            <w:r>
              <w:rPr>
                <w:rFonts w:ascii="Arial" w:cs="Arial" w:eastAsia="Arial" w:hAnsi="Arial"/>
                <w:color w:val="6B7280"/>
                <w:sz w:val="20"/>
                <w:szCs w:val="20"/>
              </w:rPr>
              <w:t xml:space="preserve">Upgrade to Standard ($29) or Pro ($49) at any time during your trial.</w:t>
            </w:r>
          </w:p>
        </w:tc>
      </w:tr>
    </w:tbl>
    <w:p>
      <w:pPr>
        <w:pBdr>
          <w:bottom w:val="single" w:color="E5E7EB" w:sz="4" w:space="1"/>
        </w:pBdr>
        <w:spacing w:after="160" w:before="240"/>
      </w:pPr>
    </w:p>
    <w:p>
      <w:pPr>
        <w:spacing w:after="120" w:before="320"/>
      </w:pPr>
      <w:r>
        <w:rPr>
          <w:rFonts w:ascii="Arial" w:cs="Arial" w:eastAsia="Arial" w:hAnsi="Arial"/>
          <w:b/>
          <w:bCs/>
          <w:caps/>
          <w:color w:val="7C3AED"/>
          <w:sz w:val="18"/>
          <w:szCs w:val="18"/>
        </w:rPr>
        <w:t xml:space="preserve">CONTACT &amp; SUPPORT</w:t>
      </w:r>
    </w:p>
    <w:p>
      <w:pPr>
        <w:spacing w:after="60" w:before="80"/>
      </w:pPr>
      <w:r>
        <w:rPr>
          <w:rFonts w:ascii="Arial" w:cs="Arial" w:eastAsia="Arial" w:hAnsi="Arial"/>
          <w:b/>
          <w:bCs/>
          <w:color w:val="111827"/>
          <w:sz w:val="22"/>
          <w:szCs w:val="22"/>
        </w:rPr>
        <w:t xml:space="preserve">Website: </w:t>
      </w:r>
      <w:r>
        <w:rPr>
          <w:rFonts w:ascii="Arial" w:cs="Arial" w:eastAsia="Arial" w:hAnsi="Arial"/>
          <w:color w:val="7C3AED"/>
          <w:sz w:val="22"/>
          <w:szCs w:val="22"/>
        </w:rPr>
        <w:t xml:space="preserve">wali-os.com</w:t>
      </w:r>
    </w:p>
    <w:p>
      <w:pPr>
        <w:spacing w:after="60" w:before="0"/>
      </w:pPr>
      <w:r>
        <w:rPr>
          <w:rFonts w:ascii="Arial" w:cs="Arial" w:eastAsia="Arial" w:hAnsi="Arial"/>
          <w:b/>
          <w:bCs/>
          <w:color w:val="111827"/>
          <w:sz w:val="22"/>
          <w:szCs w:val="22"/>
        </w:rPr>
        <w:t xml:space="preserve">Support: </w:t>
      </w:r>
      <w:r>
        <w:rPr>
          <w:rFonts w:ascii="Arial" w:cs="Arial" w:eastAsia="Arial" w:hAnsi="Arial"/>
          <w:color w:val="7C3AED"/>
          <w:sz w:val="22"/>
          <w:szCs w:val="22"/>
        </w:rPr>
        <w:t xml:space="preserve">support@wali-os.com</w:t>
      </w:r>
    </w:p>
    <w:p>
      <w:pPr>
        <w:spacing w:after="60" w:before="0"/>
      </w:pPr>
      <w:r>
        <w:rPr>
          <w:rFonts w:ascii="Arial" w:cs="Arial" w:eastAsia="Arial" w:hAnsi="Arial"/>
          <w:b/>
          <w:bCs/>
          <w:color w:val="111827"/>
          <w:sz w:val="22"/>
          <w:szCs w:val="22"/>
        </w:rPr>
        <w:t xml:space="preserve">Team &amp; Institutional pricing: </w:t>
      </w:r>
      <w:r>
        <w:rPr>
          <w:rFonts w:ascii="Arial" w:cs="Arial" w:eastAsia="Arial" w:hAnsi="Arial"/>
          <w:color w:val="6B7280"/>
          <w:sz w:val="22"/>
          <w:szCs w:val="22"/>
        </w:rPr>
        <w:t xml:space="preserve">Contact us for volume discounts and white-label options.</w:t>
      </w:r>
    </w:p>
    <w:p>
      <w:pPr>
        <w:spacing w:after="0" w:before="200"/>
      </w:pPr>
      <w:r>
        <w:rPr>
          <w:rFonts w:ascii="Arial" w:cs="Arial" w:eastAsia="Arial" w:hAnsi="Arial"/>
          <w:color w:val="6B7280"/>
          <w:sz w:val="18"/>
          <w:szCs w:val="18"/>
        </w:rPr>
        <w:t xml:space="preserve">© 2026 Wali-OS. All rights reserved. Wali-OS is not a registered investment advisor. All analysis is for informational and educational purposes only and does not constitute investment advice. Past performance is not indicative of future results. Trading involves substantial risk of loss.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tabs>
        <w:tab w:val="right" w:pos="9000"/>
      </w:tabs>
      <w:spacing w:after="0" w:before="120"/>
    </w:pPr>
    <w:r>
      <w:rPr>
        <w:rFonts w:ascii="Arial" w:cs="Arial" w:eastAsia="Arial" w:hAnsi="Arial"/>
        <w:color w:val="6B7280"/>
        <w:sz w:val="18"/>
        <w:szCs w:val="18"/>
      </w:rPr>
      <w:t xml:space="preserve">wali-os.com   |   support@wali-os.com</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3" w:space="1"/>
      </w:pBdr>
      <w:spacing w:after="120" w:before="0"/>
    </w:pPr>
    <w:r>
      <w:rPr>
        <w:rFonts w:ascii="Arial" w:cs="Arial" w:eastAsia="Arial" w:hAnsi="Arial"/>
        <w:b/>
        <w:bCs/>
        <w:color w:val="7C3AED"/>
        <w:sz w:val="24"/>
        <w:szCs w:val="24"/>
      </w:rPr>
      <w:t xml:space="preserve">WALI-OS</w:t>
    </w:r>
    <w:r>
      <w:rPr>
        <w:rFonts w:ascii="Arial" w:cs="Arial" w:eastAsia="Arial" w:hAnsi="Arial"/>
        <w:color w:val="6B7280"/>
        <w:sz w:val="22"/>
        <w:szCs w:val="22"/>
      </w:rPr>
      <w:t xml:space="preserve">   |   AI Stock Analysis Platform</w:t>
    </w:r>
    <w:r>
      <w:rPr>
        <w:rFonts w:ascii="Arial" w:cs="Arial" w:eastAsia="Arial" w:hAnsi="Arial"/>
        <w:color w:val="6B7280"/>
        <w:sz w:val="18"/>
        <w:szCs w:val="18"/>
      </w:rPr>
      <w:t xml:space="preserve">   •   CONFIDENTIAL OFFER SHEET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2026-04-17T16:21:41.055Z</dcterms:created>
  <dcterms:modified xsi:type="dcterms:W3CDTF">2026-04-17T16:21:41.056Z</dcterms:modified>
</cp:coreProperties>
</file>

<file path=docProps/custom.xml><?xml version="1.0" encoding="utf-8"?>
<Properties xmlns="http://schemas.openxmlformats.org/officeDocument/2006/custom-properties" xmlns:vt="http://schemas.openxmlformats.org/officeDocument/2006/docPropsVTypes"/>
</file>