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 w:after="80"/>
      </w:pPr>
      <w:r>
        <w:t xml:space="preserve"/>
      </w:r>
    </w:p>
    <w:p>
      <w:pPr>
        <w:spacing w:before="80" w:after="80"/>
      </w:pPr>
      <w:r>
        <w:t xml:space="preserve"/>
      </w:r>
    </w:p>
    <w:p>
      <w:pPr>
        <w:spacing w:before="80" w:after="80"/>
      </w:pPr>
      <w:r>
        <w:t xml:space="preserve"/>
      </w:r>
    </w:p>
    <w:p>
      <w:pPr>
        <w:spacing w:after="80"/>
        <w:jc w:val="center"/>
      </w:pPr>
      <w:r>
        <w:rPr>
          <w:rFonts w:ascii="Arial" w:cs="Arial" w:eastAsia="Arial" w:hAnsi="Arial"/>
          <w:b/>
          <w:bCs/>
          <w:color w:val="0F1420"/>
          <w:sz w:val="64"/>
          <w:szCs w:val="64"/>
        </w:rPr>
        <w:t xml:space="preserve">OPSIS</w:t>
      </w:r>
    </w:p>
    <w:p>
      <w:pPr>
        <w:spacing w:after="120"/>
        <w:jc w:val="center"/>
      </w:pPr>
      <w:r>
        <w:rPr>
          <w:rFonts w:ascii="Arial" w:cs="Arial" w:eastAsia="Arial" w:hAnsi="Arial"/>
          <w:b/>
          <w:bCs/>
          <w:color w:val="2DD4FF"/>
          <w:sz w:val="52"/>
          <w:szCs w:val="52"/>
        </w:rPr>
        <w:t xml:space="preserve">Compliance Service</w:t>
      </w:r>
    </w:p>
    <w:p>
      <w:pPr>
        <w:spacing w:after="480"/>
        <w:jc w:val="center"/>
      </w:pPr>
      <w:r>
        <w:rPr>
          <w:rFonts w:ascii="Arial" w:cs="Arial" w:eastAsia="Arial" w:hAnsi="Arial"/>
          <w:color w:val="555555"/>
          <w:sz w:val="26"/>
          <w:szCs w:val="26"/>
        </w:rPr>
        <w:t xml:space="preserve">Complete Technical &amp; Operational Reference</w:t>
      </w:r>
    </w:p>
    <w:p>
      <w:pPr>
        <w:jc w:val="center"/>
      </w:pPr>
      <w:r>
        <w:rPr>
          <w:rFonts w:ascii="Arial" w:cs="Arial" w:eastAsia="Arial" w:hAnsi="Arial"/>
          <w:color w:val="888888"/>
          <w:sz w:val="18"/>
          <w:szCs w:val="18"/>
        </w:rPr>
        <w:t xml:space="preserve">Hues Technology LLC  |  opsisapp.com  |  Confidential</w:t>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1. Overview</w:t>
      </w:r>
    </w:p>
    <w:p>
      <w:pPr>
        <w:spacing w:before="60" w:after="60"/>
        <w:jc w:val="both"/>
      </w:pPr>
      <w:r>
        <w:rPr>
          <w:rFonts w:ascii="Arial" w:cs="Arial" w:eastAsia="Arial" w:hAnsi="Arial"/>
          <w:color w:val="1A1A1A"/>
          <w:sz w:val="22"/>
          <w:szCs w:val="22"/>
        </w:rPr>
        <w:t xml:space="preserve">The OPSIS Compliance Service is a continuous, automated compliance evaluation system built into the OPSIS autonomous IT remediation platform. It evaluates client environments across three dimensions — M365 Cloud, Endpoint, and User — and produces a single Unified Compliance Score that reflects the actual security posture of the environment at any given moment.</w:t>
      </w:r>
    </w:p>
    <w:p>
      <w:pPr>
        <w:spacing w:before="80" w:after="80"/>
      </w:pPr>
      <w:r>
        <w:t xml:space="preserve"/>
      </w:r>
    </w:p>
    <w:p>
      <w:pPr>
        <w:spacing w:before="60" w:after="60"/>
        <w:jc w:val="both"/>
      </w:pPr>
      <w:r>
        <w:rPr>
          <w:rFonts w:ascii="Arial" w:cs="Arial" w:eastAsia="Arial" w:hAnsi="Arial"/>
          <w:color w:val="1A1A1A"/>
          <w:sz w:val="22"/>
          <w:szCs w:val="22"/>
        </w:rPr>
        <w:t xml:space="preserve">Unlike point-in-time assessments or manual compliance checklists, OPSIS compliance runs continuously. Endpoint scans execute every four hours and immediately upon drift detection. User compliance evaluates on demand and on a four-hour scheduled cycle. Cloud data is pulled from Microsoft Graph API after each M365 security scan. The result is a compliance posture that reflects live system state, not a snapshot from last quarter.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420" w:val="clear"/>
            <w:tcMar>
              <w:top w:type="dxa" w:w="200"/>
              <w:left w:type="dxa" w:w="240"/>
              <w:bottom w:type="dxa" w:w="200"/>
              <w:right w:type="dxa" w:w="240"/>
            </w:tcMar>
          </w:tcPr>
          <w:p>
            <w:pPr>
              <w:spacing w:after="80"/>
            </w:pPr>
            <w:r>
              <w:rPr>
                <w:rFonts w:ascii="Arial" w:cs="Arial" w:eastAsia="Arial" w:hAnsi="Arial"/>
                <w:b/>
                <w:bCs/>
                <w:color w:val="2DD4FF"/>
                <w:sz w:val="22"/>
                <w:szCs w:val="22"/>
              </w:rPr>
              <w:t xml:space="preserve">Unified Score Formula</w:t>
            </w:r>
          </w:p>
          <w:p>
            <w:pPr>
              <w:spacing w:after="80"/>
            </w:pPr>
            <w:r>
              <w:rPr>
                <w:rFonts w:ascii="Arial" w:cs="Arial" w:eastAsia="Arial" w:hAnsi="Arial"/>
                <w:b/>
                <w:bCs/>
                <w:color w:val="FFFFFF"/>
                <w:sz w:val="26"/>
                <w:szCs w:val="26"/>
              </w:rPr>
              <w:t xml:space="preserve">Unified = (Cloud × 0.30) + (Endpoint × 0.35) + (User × 0.35)</w:t>
            </w:r>
          </w:p>
          <w:p>
            <w:r>
              <w:rPr>
                <w:rFonts w:ascii="Arial" w:cs="Arial" w:eastAsia="Arial" w:hAnsi="Arial"/>
                <w:color w:val="AAAAAA"/>
                <w:sz w:val="18"/>
                <w:szCs w:val="18"/>
              </w:rPr>
              <w:t xml:space="preserve">Endpoint and User carry the highest weight because they reflect direct machine and identity security posture. Cloud carries 30% due to the inherent limitations of Microsoft Secure Score as a standalone compliance signal.</w:t>
            </w:r>
          </w:p>
        </w:tc>
      </w:tr>
    </w:tbl>
    <w:p>
      <w:pPr>
        <w:spacing w:before="80" w:after="80"/>
      </w:pPr>
      <w:r>
        <w:t xml:space="preserve"/>
      </w:r>
    </w:p>
    <w:p>
      <w:pPr>
        <w:pStyle w:val="Heading2"/>
        <w:spacing w:before="280" w:after="80"/>
      </w:pPr>
      <w:r>
        <w:rPr>
          <w:rFonts w:ascii="Arial" w:cs="Arial" w:eastAsia="Arial" w:hAnsi="Arial"/>
          <w:b/>
          <w:bCs/>
          <w:color w:val="0F1420"/>
          <w:sz w:val="26"/>
          <w:szCs w:val="26"/>
        </w:rPr>
        <w:t xml:space="preserve">1.1 Supported Compliance Frameworks</w:t>
      </w:r>
    </w:p>
    <w:p>
      <w:pPr>
        <w:spacing w:before="60" w:after="60"/>
        <w:jc w:val="both"/>
      </w:pPr>
      <w:r>
        <w:rPr>
          <w:rFonts w:ascii="Arial" w:cs="Arial" w:eastAsia="Arial" w:hAnsi="Arial"/>
          <w:color w:val="1A1A1A"/>
          <w:sz w:val="22"/>
          <w:szCs w:val="22"/>
        </w:rPr>
        <w:t xml:space="preserve">OPSIS ships with four built-in compliance templates covering the most common regulated-industry requirements: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40"/>
        <w:gridCol w:w="1440"/>
        <w:gridCol w:w="2160"/>
        <w:gridCol w:w="2520"/>
      </w:tblGrid>
      <w:tr>
        <w:tc>
          <w:tcPr>
            <w:tcW w:type="dxa" w:w="18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Template</w:t>
            </w:r>
          </w:p>
        </w:tc>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Checks</w:t>
            </w:r>
          </w:p>
        </w:tc>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Min Score</w:t>
            </w:r>
          </w:p>
        </w:tc>
        <w:tc>
          <w:tcPr>
            <w:tcW w:type="dxa" w:w="21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Industry</w:t>
            </w:r>
          </w:p>
        </w:tc>
        <w:tc>
          <w:tcPr>
            <w:tcW w:type="dxa" w:w="252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Regulation</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1420"/>
                <w:sz w:val="18"/>
                <w:szCs w:val="18"/>
              </w:rPr>
              <w:t xml:space="preserve">hipaa-endpoint</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80%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Healthcare</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45 CFR Part 164 Technical Safeguards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1420"/>
                <w:sz w:val="18"/>
                <w:szCs w:val="18"/>
              </w:rPr>
              <w:t xml:space="preserve">cmmc-endpoint</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85%</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Defense / Gov Contractors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NIST SP 800-171r3, CMMC L2</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0F1420"/>
                <w:sz w:val="18"/>
                <w:szCs w:val="18"/>
              </w:rPr>
              <w:t xml:space="preserve">pci-dss-endpoint</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90%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Finance / Retail</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PCI DSS v4.0</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0F1420"/>
                <w:sz w:val="18"/>
                <w:szCs w:val="18"/>
              </w:rPr>
              <w:t xml:space="preserve">sox-endpoint</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80%</w:t>
            </w:r>
          </w:p>
        </w:tc>
        <w:tc>
          <w:tcPr>
            <w:tcW w:type="dxa" w:w="21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Public Companies</w:t>
            </w:r>
          </w:p>
        </w:tc>
        <w:tc>
          <w:tcPr>
            <w:tcW w:type="dxa" w:w="25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SOX IT General Controls</w:t>
            </w:r>
          </w:p>
        </w:tc>
      </w:tr>
    </w:tbl>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2. The Three Compliance Dimensions</w:t>
      </w:r>
    </w:p>
    <w:p>
      <w:pPr>
        <w:pStyle w:val="Heading2"/>
        <w:spacing w:before="280" w:after="80"/>
      </w:pPr>
      <w:r>
        <w:rPr>
          <w:rFonts w:ascii="Arial" w:cs="Arial" w:eastAsia="Arial" w:hAnsi="Arial"/>
          <w:b/>
          <w:bCs/>
          <w:color w:val="0F1420"/>
          <w:sz w:val="26"/>
          <w:szCs w:val="26"/>
        </w:rPr>
        <w:t xml:space="preserve">2.1 M365 Cloud Compliance (Weight: 30%)</w:t>
      </w:r>
    </w:p>
    <w:p>
      <w:pPr>
        <w:spacing w:before="60" w:after="60"/>
        <w:jc w:val="both"/>
      </w:pPr>
      <w:r>
        <w:rPr>
          <w:rFonts w:ascii="Arial" w:cs="Arial" w:eastAsia="Arial" w:hAnsi="Arial"/>
          <w:color w:val="1A1A1A"/>
          <w:sz w:val="22"/>
          <w:szCs w:val="22"/>
        </w:rPr>
        <w:t xml:space="preserve">The Cloud dimension evaluates the security posture of the client's Microsoft 365 tenant using data collected from Microsoft Graph API. It accounts for 30% of the Unified Score.</w:t>
      </w:r>
    </w:p>
    <w:p>
      <w:pPr>
        <w:spacing w:before="80" w:after="80"/>
      </w:pPr>
      <w:r>
        <w:t xml:space="preserve"/>
      </w:r>
    </w:p>
    <w:p>
      <w:pPr>
        <w:spacing w:before="60" w:after="60"/>
        <w:jc w:val="both"/>
      </w:pPr>
      <w:r>
        <w:rPr>
          <w:rFonts w:ascii="Arial" w:cs="Arial" w:eastAsia="Arial" w:hAnsi="Arial"/>
          <w:color w:val="1A1A1A"/>
          <w:sz w:val="22"/>
          <w:szCs w:val="22"/>
        </w:rPr>
        <w:t xml:space="preserve">The primary signal is Microsoft Secure Score — the number of security control points earned out of the maximum available in the tenant. This is pulled from the Graph API /security/secureScores endpoint after each M365 security scan and stored in the m365_security_scores table. The percentage score (current_score / max_score) becomes the cloud_compliance_score in client_compliance_status.</w:t>
      </w:r>
    </w:p>
    <w:p>
      <w:pPr>
        <w:spacing w:before="80" w:after="80"/>
      </w:pPr>
      <w:r>
        <w:t xml:space="preserve"/>
      </w:r>
    </w:p>
    <w:p>
      <w:pPr>
        <w:spacing w:before="60" w:after="60"/>
        <w:jc w:val="both"/>
      </w:pPr>
      <w:r>
        <w:rPr>
          <w:rFonts w:ascii="Arial" w:cs="Arial" w:eastAsia="Arial" w:hAnsi="Arial"/>
          <w:color w:val="1A1A1A"/>
          <w:sz w:val="22"/>
          <w:szCs w:val="22"/>
        </w:rPr>
        <w:t xml:space="preserve">In addition to Secure Score, OPSIS monitors active security detections from the Graph API /security/alerts_v2 endpoint. These detections are stored in m365_security_threats and surfaced in the compliance report with severity, status, category, and detection timestamp.</w:t>
      </w:r>
    </w:p>
    <w:p>
      <w:pPr>
        <w:spacing w:before="80" w:after="80"/>
      </w:pPr>
      <w:r>
        <w:t xml:space="preserve"/>
      </w:r>
    </w:p>
    <w:p>
      <w:pPr>
        <w:spacing w:before="60" w:after="60"/>
        <w:jc w:val="both"/>
      </w:pPr>
      <w:r>
        <w:rPr>
          <w:rFonts w:ascii="Arial" w:cs="Arial" w:eastAsia="Arial" w:hAnsi="Arial"/>
          <w:color w:val="1A1A1A"/>
          <w:sz w:val="22"/>
          <w:szCs w:val="22"/>
        </w:rPr>
        <w:t xml:space="preserve">The Entra ID Conditional Access check is a specialized cloud-side verification triggered when Windows endpoints report that password policy is managed by Entra rather than local accounts. When a compliance scan returns status='server_verification' with identity_provider='entra_id', the OPSIS backend queries Graph to evaluate whether CA policies actually enforce MFA (state='enabled') or are only in report-only mode (state='enabledForReportingButNotEnforced'). The distinction matters: report-only mode means MFA is not actually enforced and the check correctly returns FAIL.</w:t>
      </w:r>
    </w:p>
    <w:p>
      <w:pPr>
        <w:spacing w:before="80" w:after="80"/>
      </w:pPr>
      <w:r>
        <w:t xml:space="preserve"/>
      </w:r>
    </w:p>
    <w:p>
      <w:pPr>
        <w:pStyle w:val="Heading2"/>
        <w:spacing w:before="280" w:after="80"/>
      </w:pPr>
      <w:r>
        <w:rPr>
          <w:rFonts w:ascii="Arial" w:cs="Arial" w:eastAsia="Arial" w:hAnsi="Arial"/>
          <w:b/>
          <w:bCs/>
          <w:color w:val="0F1420"/>
          <w:sz w:val="26"/>
          <w:szCs w:val="26"/>
        </w:rPr>
        <w:t xml:space="preserve">2.2 Endpoint Compliance (Weight: 35%)</w:t>
      </w:r>
    </w:p>
    <w:p>
      <w:pPr>
        <w:spacing w:before="60" w:after="60"/>
        <w:jc w:val="both"/>
      </w:pPr>
      <w:r>
        <w:rPr>
          <w:rFonts w:ascii="Arial" w:cs="Arial" w:eastAsia="Arial" w:hAnsi="Arial"/>
          <w:color w:val="1A1A1A"/>
          <w:sz w:val="22"/>
          <w:szCs w:val="22"/>
        </w:rPr>
        <w:t xml:space="preserve">The Endpoint dimension evaluates each Windows machine against the compliance template assigned to it. It runs every four hours by default, or immediately when a drift event is detected on the endpoint. It accounts for 35% of the Unified Score.</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2.2.1 Pre-Scan Environment Detection</w:t>
      </w:r>
    </w:p>
    <w:p>
      <w:pPr>
        <w:spacing w:before="60" w:after="60"/>
        <w:jc w:val="both"/>
      </w:pPr>
      <w:r>
        <w:rPr>
          <w:rFonts w:ascii="Arial" w:cs="Arial" w:eastAsia="Arial" w:hAnsi="Arial"/>
          <w:color w:val="1A1A1A"/>
          <w:sz w:val="22"/>
          <w:szCs w:val="22"/>
        </w:rPr>
        <w:t xml:space="preserve">Before any compliance checks run, the OPSIS Windows agent performs three environment detection steps that affect how checks are evaluated and remediated:</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Domain detection: Win32_ComputerSystem.PartOfDomain determines whether the machine is domain-joined. Domain-joined machines skip local policy remediation for checks flagged with domain_policy_check: true. Instead of writing local settings that would be overwritten at the next GPO refresh, OPSIS creates a ticket noting the domain policy conflict.</w:t>
      </w:r>
    </w:p>
    <w:p>
      <w:pPr>
        <w:pStyle w:val="ListParagraph"/>
        <w:numPr>
          <w:ilvl w:val="0"/>
          <w:numId w:val="2"/>
        </w:numPr>
        <w:spacing w:before="40" w:after="40"/>
      </w:pPr>
      <w:r>
        <w:rPr>
          <w:rFonts w:ascii="Arial" w:cs="Arial" w:eastAsia="Arial" w:hAnsi="Arial"/>
          <w:color w:val="1A1A1A"/>
          <w:sz w:val="22"/>
          <w:szCs w:val="22"/>
        </w:rPr>
        <w:t xml:space="preserve">Third-party AV detection: WMI SecurityCenter2 queries detect whether SentinelOne, CrowdStrike, Sophos, or another registered AV product is active. When a third-party product is detected, checks flagged with av_check: true return not_applicable and a generic WMI AV health check is substituted. This prevents false failures on machines that have intentionally replaced Windows Defender.</w:t>
      </w:r>
    </w:p>
    <w:p>
      <w:pPr>
        <w:pStyle w:val="ListParagraph"/>
        <w:numPr>
          <w:ilvl w:val="0"/>
          <w:numId w:val="2"/>
        </w:numPr>
        <w:spacing w:before="40" w:after="40"/>
      </w:pPr>
      <w:r>
        <w:rPr>
          <w:rFonts w:ascii="Arial" w:cs="Arial" w:eastAsia="Arial" w:hAnsi="Arial"/>
          <w:color w:val="1A1A1A"/>
          <w:sz w:val="22"/>
          <w:szCs w:val="22"/>
        </w:rPr>
        <w:t xml:space="preserve">GPO activity detection: The presence of HKLM\SOFTWARE\Policies registry keys indicates active Group Policy. For specific checks that have a gpo_policy_path field, the agent queries that exact registry path before attempting remediation. If the key exists, the check returns status='gpo_controlled', a ticket is created with the GPO path, and no local overwrite is attempted.</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2.2.2 Check Categories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Category</w:t>
            </w:r>
          </w:p>
        </w:tc>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Weight</w:t>
            </w:r>
          </w:p>
        </w:tc>
        <w:tc>
          <w:tcPr>
            <w:tcW w:type="dxa" w:w="648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What Is Checked</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encryption</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Critical (3x)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BitLocker protection status on system drive. Must be On. Cannot be auto-remediated without TPM verification.</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antivirus</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Critical (3x)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Defender RealTimeProtectionEnabled, definition age, tamper protection. Skipped when third-party AV detected.</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firewall</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Critical (3x)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All three Windows Firewall profiles (Domain, Private, Public) must be Enabled. Auto-remediates with Set-NetFirewallProfile.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Critical (3x)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Windows audit policy via auditpol /get. Checks Logon, File System, Account Management, Process Creation. GPO-sensitive.</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patching</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Critical (3x)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Pending updates via Windows Update COM API. Critical patches within 14-30 days depending on framework. Creates ticket, not auto-applied.</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password</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Recommended (2x)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net accounts: min length, max age, history, lockout threshold. GPO-sensitive on domain machines. Routes to Entra on cloud-joined machines.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session</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Recommended (2x)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Screen lock timeout via registry ScreenSaveTimeOut. HIPAA requires &lt;=15 min, SOX &lt;=30 min. GPO-sensitive.</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network</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Recommended (2x)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TLS 1.0/1.1 SCHANNEL registry keys. RDP NLA requirement. Auto-remediates TLS via registry, sets NLA on RDP.</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access</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Recommended (2x)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Local admin enumeration via Get-LocalGroupMember. Built-in Admin enabled check. Report-only, never auto-removes accounts.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media</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Recommended (2x)</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USBSTOR service Start registry value. 4 = disabled. Auto-remediates. CMMC also requires BitLocker on removable media.</w:t>
            </w:r>
          </w:p>
        </w:tc>
      </w:tr>
    </w:tbl>
    <w:p>
      <w:pPr>
        <w:spacing w:before="80" w:after="80"/>
      </w:pPr>
      <w:r>
        <w:t xml:space="preserve"/>
      </w:r>
    </w:p>
    <w:p>
      <w:pPr>
        <w:pStyle w:val="Heading3"/>
        <w:spacing w:before="200" w:after="60"/>
      </w:pPr>
      <w:r>
        <w:rPr>
          <w:rFonts w:ascii="Arial" w:cs="Arial" w:eastAsia="Arial" w:hAnsi="Arial"/>
          <w:b/>
          <w:bCs/>
          <w:color w:val="1A1A1A"/>
          <w:sz w:val="22"/>
          <w:szCs w:val="22"/>
        </w:rPr>
        <w:t xml:space="preserve">2.2.3 Scoring Calculation</w:t>
      </w:r>
    </w:p>
    <w:p>
      <w:pPr>
        <w:spacing w:before="60" w:after="60"/>
        <w:jc w:val="both"/>
      </w:pPr>
      <w:r>
        <w:rPr>
          <w:rFonts w:ascii="Arial" w:cs="Arial" w:eastAsia="Arial" w:hAnsi="Arial"/>
          <w:color w:val="1A1A1A"/>
          <w:sz w:val="22"/>
          <w:szCs w:val="22"/>
        </w:rPr>
        <w:t xml:space="preserve">The compliance score is calculated as: (sum of weights for passed checks) / (sum of weights for all non-N/A checks) x 100. Critical checks carry 3x weight, Recommended 2x, Informational 1x. The is_compliant flag is set to true when the score meets the template minimum AND all critical checks pass.</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2.2.4 Drift Detection</w:t>
      </w:r>
    </w:p>
    <w:p>
      <w:pPr>
        <w:spacing w:before="60" w:after="60"/>
        <w:jc w:val="both"/>
      </w:pPr>
      <w:r>
        <w:rPr>
          <w:rFonts w:ascii="Arial" w:cs="Arial" w:eastAsia="Arial" w:hAnsi="Arial"/>
          <w:color w:val="1A1A1A"/>
          <w:sz w:val="22"/>
          <w:szCs w:val="22"/>
        </w:rPr>
        <w:t xml:space="preserve">The compliance scanner compares each check result against the previous scan. A pass-to-fail transition is a drift event. Drift events are sent immediately to the OPSIS backend via WebSocket without waiting for the scheduled report interval. Critical drift events trigger ticket creation and a realtime alert.</w:t>
      </w:r>
    </w:p>
    <w:p>
      <w:pPr>
        <w:spacing w:before="80" w:after="80"/>
      </w:pPr>
      <w:r>
        <w:t xml:space="preserve"/>
      </w:r>
    </w:p>
    <w:p>
      <w:r>
        <w:br w:type="page"/>
      </w:r>
    </w:p>
    <w:p>
      <w:pPr>
        <w:pStyle w:val="Heading2"/>
        <w:spacing w:before="280" w:after="80"/>
      </w:pPr>
      <w:r>
        <w:rPr>
          <w:rFonts w:ascii="Arial" w:cs="Arial" w:eastAsia="Arial" w:hAnsi="Arial"/>
          <w:b/>
          <w:bCs/>
          <w:color w:val="0F1420"/>
          <w:sz w:val="26"/>
          <w:szCs w:val="26"/>
        </w:rPr>
        <w:t xml:space="preserve">2.3 User Compliance (Weight: 35%)</w:t>
      </w:r>
    </w:p>
    <w:p>
      <w:pPr>
        <w:spacing w:before="60" w:after="60"/>
        <w:jc w:val="both"/>
      </w:pPr>
      <w:r>
        <w:rPr>
          <w:rFonts w:ascii="Arial" w:cs="Arial" w:eastAsia="Arial" w:hAnsi="Arial"/>
          <w:color w:val="1A1A1A"/>
          <w:sz w:val="22"/>
          <w:szCs w:val="22"/>
        </w:rPr>
        <w:t xml:space="preserve">The User dimension evaluates each active M365 user individually against the compliance framework assigned to the client. It accounts for 35% of the Unified Score.</w:t>
      </w:r>
    </w:p>
    <w:p>
      <w:pPr>
        <w:spacing w:before="80" w:after="80"/>
      </w:pPr>
      <w:r>
        <w:t xml:space="preserve"/>
      </w:r>
    </w:p>
    <w:p>
      <w:pPr>
        <w:spacing w:before="60" w:after="60"/>
        <w:jc w:val="both"/>
      </w:pPr>
      <w:r>
        <w:rPr>
          <w:rFonts w:ascii="Arial" w:cs="Arial" w:eastAsia="Arial" w:hAnsi="Arial"/>
          <w:color w:val="1A1A1A"/>
          <w:sz w:val="22"/>
          <w:szCs w:val="22"/>
        </w:rPr>
        <w:t xml:space="preserve">User compliance data comes primarily from the m365_users table, which is kept synchronized from Microsoft Graph API. User-to-device mappings are built from OPSIS agent heartbeat data — when the Windows agent sends a heartbeat, it includes the currently logged-on users, which are stored in the user_device_mappings table. This mapping enables device-dependent user checks (BitLocker, screen lock) to evaluate against actual endpoint compliance reports for the specific machines that user has accessed.</w:t>
      </w:r>
    </w:p>
    <w:p>
      <w:pPr>
        <w:spacing w:before="80" w:after="80"/>
      </w:pPr>
      <w:r>
        <w:t xml:space="preserve"/>
      </w:r>
    </w:p>
    <w:p>
      <w:pPr>
        <w:pStyle w:val="Heading3"/>
        <w:spacing w:before="200" w:after="60"/>
      </w:pPr>
      <w:r>
        <w:rPr>
          <w:rFonts w:ascii="Arial" w:cs="Arial" w:eastAsia="Arial" w:hAnsi="Arial"/>
          <w:b/>
          <w:bCs/>
          <w:color w:val="1A1A1A"/>
          <w:sz w:val="22"/>
          <w:szCs w:val="22"/>
        </w:rPr>
        <w:t xml:space="preserve">2.3.1 User Check Sets by Framework</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1440"/>
        <w:gridCol w:w="6480"/>
      </w:tblGrid>
      <w:tr>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Framework</w:t>
            </w:r>
          </w:p>
        </w:tc>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Checks</w:t>
            </w:r>
          </w:p>
        </w:tc>
        <w:tc>
          <w:tcPr>
            <w:tcW w:type="dxa" w:w="648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Key Requirements Evaluated</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HIPAA</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10</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Unique identity, MFA enforcement, device encryption, access controls, mailbox audit, screen lock, password hygiene, sign-in risk, license appropriateness, email forwarding</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CMMC</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Phishing-resistant MFA (FIDO2/Authenticator), no standing admin, 14-char password/60-day rotation, account lockout, 90-day audit log retention, TLS on devices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PCI-DSS</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8</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MFA for CDE access, unique user IDs, 12-char password, account lockout after 10 attempts, 90-day inactive account removal, least privilege, audit logging, no external forwarding</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SOX</w:t>
            </w:r>
          </w:p>
        </w:tc>
        <w:tc>
          <w:tcPr>
            <w:tcW w:type="dxa" w:w="14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6</w:t>
            </w:r>
          </w:p>
        </w:tc>
        <w:tc>
          <w:tcPr>
            <w:tcW w:type="dxa" w:w="64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MFA for financial systems, segregation of duties, access certification, privileged account controls, audit trail/7-year retention, terminated user access removal</w:t>
            </w:r>
          </w:p>
        </w:tc>
      </w:tr>
    </w:tbl>
    <w:p>
      <w:pPr>
        <w:spacing w:before="80" w:after="80"/>
      </w:pPr>
      <w:r>
        <w:t xml:space="preserve"/>
      </w:r>
    </w:p>
    <w:p>
      <w:pPr>
        <w:pStyle w:val="Heading3"/>
        <w:spacing w:before="200" w:after="60"/>
      </w:pPr>
      <w:r>
        <w:rPr>
          <w:rFonts w:ascii="Arial" w:cs="Arial" w:eastAsia="Arial" w:hAnsi="Arial"/>
          <w:b/>
          <w:bCs/>
          <w:color w:val="1A1A1A"/>
          <w:sz w:val="22"/>
          <w:szCs w:val="22"/>
        </w:rPr>
        <w:t xml:space="preserve">2.3.2 Template Routing</w:t>
      </w:r>
    </w:p>
    <w:p>
      <w:pPr>
        <w:spacing w:before="60" w:after="60"/>
        <w:jc w:val="both"/>
      </w:pPr>
      <w:r>
        <w:rPr>
          <w:rFonts w:ascii="Arial" w:cs="Arial" w:eastAsia="Arial" w:hAnsi="Arial"/>
          <w:color w:val="1A1A1A"/>
          <w:sz w:val="22"/>
          <w:szCs w:val="22"/>
        </w:rPr>
        <w:t xml:space="preserve">The user compliance service determines which check set to apply based on the compliance template assigned to the client. It first checks endpoint_groups for a compliance_template_slug, then falls back to the individual endpoint assignment, then defaults to hipaa-endpoint if no assignment exists. This means user compliance checks automatically align with the regulatory framework the client is being evaluated against.</w:t>
      </w:r>
    </w:p>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3. The Compliance Data Pipeline</w:t>
      </w:r>
    </w:p>
    <w:p>
      <w:pPr>
        <w:pStyle w:val="Heading2"/>
        <w:spacing w:before="280" w:after="80"/>
      </w:pPr>
      <w:r>
        <w:rPr>
          <w:rFonts w:ascii="Arial" w:cs="Arial" w:eastAsia="Arial" w:hAnsi="Arial"/>
          <w:b/>
          <w:bCs/>
          <w:color w:val="0F1420"/>
          <w:sz w:val="26"/>
          <w:szCs w:val="26"/>
        </w:rPr>
        <w:t xml:space="preserve">3.1 Endpoint Compliance Pipeline (15 Steps)</w:t>
      </w:r>
    </w:p>
    <w:p>
      <w:pPr>
        <w:spacing w:before="60" w:after="60"/>
        <w:jc w:val="both"/>
      </w:pPr>
      <w:r>
        <w:rPr>
          <w:rFonts w:ascii="Arial" w:cs="Arial" w:eastAsia="Arial" w:hAnsi="Arial"/>
          <w:color w:val="1A1A1A"/>
          <w:sz w:val="22"/>
          <w:szCs w:val="22"/>
        </w:rPr>
        <w:t xml:space="preserve">The following describes the complete flow from template assignment to stored compliance report:</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w:t>
            </w:r>
          </w:p>
        </w:tc>
        <w:tc>
          <w:tcPr>
            <w:tcW w:type="dxa" w:w="86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Step</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1</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MSP opens Compliance &gt; Assignments tab. Selects template (hipaa-endpoint, cmmc-endpoint, pci-dss-endpoint, sox-endpoint) for a group or individual device.</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2</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Server saves compliance_template_slug to endpoints.compliance_template_slug or endpoint_groups.compliance_template_slug.</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3</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If device is online at time of assignment: server immediately pushes template via WebSocket (type: compliance_template). If offline: pushed on next connect.</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4</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On agent connect: server queries COALESCE(device slug, group slug). If assigned and no report in last hour: pushes template.</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5</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Agent receives compliance_template message. Stores full template JSON to disk. Schedules first scan after 30-second startup delay.</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6</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Pre-scan environment detection: (a) domain check, (b) third-party AV detection via WMI SecurityCenter2, (c) GPO activity check.</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7</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For each check: run PowerShell command, compare output to expected_result using the configured operator.</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8</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For failed checks with gpo_policy_path: check if that registry key exists. If yes: status = gpo_controlled, create GPO ticket, skip local remediation.</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9</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For failed checks on domain-joined machines with domain_policy_check: true: skip local remediation, create domain policy ticket.</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10</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For Defender checks (av_check: true) when third-party AV detected: status = not_applicable. Generic WMI AV health check substituted.</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11</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For remaining failed checks with auto_remediate: true: run remediation_command via PowerShell. Re-run check to verify fix. Record remediation_result.</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12</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Score calculated: (weighted earned points) / (total weighted points) x 100. is_compliant = score &gt;= minimum AND all critical checks pass.</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13</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Drift detection: compare each check status against previous scan. Pass-to-fail = drift. Immediate WebSocket send of compliance_drift event.</w:t>
            </w:r>
          </w:p>
        </w:tc>
      </w:tr>
      <w:tr>
        <w:tc>
          <w:tcPr>
            <w:tcW w:type="dxa" w:w="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14</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Agent sends compliance_report WebSocket message with full results, environment block, score, drift details. Queued to disk if offline.</w:t>
            </w:r>
          </w:p>
        </w:tc>
      </w:tr>
      <w:tr>
        <w:tc>
          <w:tcPr>
            <w:tcW w:type="dxa" w:w="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15</w:t>
            </w:r>
          </w:p>
        </w:tc>
        <w:tc>
          <w:tcPr>
            <w:tcW w:type="dxa" w:w="86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Server ComplianceReportHandler stores to endpoint_compliance_reports. Updates client_compliance_status.endpoint_compliance_score. Critical failures create tickets.</w:t>
            </w:r>
          </w:p>
        </w:tc>
      </w:tr>
    </w:tbl>
    <w:p>
      <w:pPr>
        <w:spacing w:before="80" w:after="80"/>
      </w:pPr>
      <w:r>
        <w:t xml:space="preserve"/>
      </w:r>
    </w:p>
    <w:p>
      <w:pPr>
        <w:pStyle w:val="Heading2"/>
        <w:spacing w:before="280" w:after="80"/>
      </w:pPr>
      <w:r>
        <w:rPr>
          <w:rFonts w:ascii="Arial" w:cs="Arial" w:eastAsia="Arial" w:hAnsi="Arial"/>
          <w:b/>
          <w:bCs/>
          <w:color w:val="0F1420"/>
          <w:sz w:val="26"/>
          <w:szCs w:val="26"/>
        </w:rPr>
        <w:t xml:space="preserve">3.2 User Compliance Pipeline</w:t>
      </w:r>
    </w:p>
    <w:p>
      <w:pPr>
        <w:spacing w:before="60" w:after="60"/>
        <w:jc w:val="both"/>
      </w:pPr>
      <w:r>
        <w:rPr>
          <w:rFonts w:ascii="Arial" w:cs="Arial" w:eastAsia="Arial" w:hAnsi="Arial"/>
          <w:color w:val="1A1A1A"/>
          <w:sz w:val="22"/>
          <w:szCs w:val="22"/>
        </w:rPr>
        <w:t xml:space="preserve">User compliance evaluation runs on demand (Evaluate All Users button) and on a four-hour scheduled cycle. The pipeline for each user:</w:t>
      </w:r>
    </w:p>
    <w:p>
      <w:pPr>
        <w:spacing w:before="80" w:after="80"/>
      </w:pPr>
      <w:r>
        <w:t xml:space="preserve"/>
      </w:r>
    </w:p>
    <w:p>
      <w:pPr>
        <w:pStyle w:val="ListParagraph"/>
        <w:numPr>
          <w:ilvl w:val="0"/>
          <w:numId w:val="3"/>
        </w:numPr>
      </w:pPr>
      <w:r>
        <w:rPr>
          <w:rFonts w:ascii="Arial" w:cs="Arial" w:eastAsia="Arial" w:hAnsi="Arial"/>
          <w:sz w:val="22"/>
          <w:szCs w:val="22"/>
        </w:rPr>
        <w:t xml:space="preserve">Fetch Graph API user data: account status, MFA methods, group memberships, license assignments, mailbox settings, forwarding rules.</w:t>
      </w:r>
    </w:p>
    <w:p>
      <w:pPr>
        <w:pStyle w:val="ListParagraph"/>
        <w:numPr>
          <w:ilvl w:val="0"/>
          <w:numId w:val="3"/>
        </w:numPr>
      </w:pPr>
      <w:r>
        <w:rPr>
          <w:rFonts w:ascii="Arial" w:cs="Arial" w:eastAsia="Arial" w:hAnsi="Arial"/>
          <w:sz w:val="22"/>
          <w:szCs w:val="22"/>
        </w:rPr>
        <w:t xml:space="preserve">Resolve user-to-device mapping from user_device_mappings table (populated by agent heartbeat logged_on_users field).</w:t>
      </w:r>
    </w:p>
    <w:p>
      <w:pPr>
        <w:pStyle w:val="ListParagraph"/>
        <w:numPr>
          <w:ilvl w:val="0"/>
          <w:numId w:val="3"/>
        </w:numPr>
      </w:pPr>
      <w:r>
        <w:rPr>
          <w:rFonts w:ascii="Arial" w:cs="Arial" w:eastAsia="Arial" w:hAnsi="Arial"/>
          <w:sz w:val="22"/>
          <w:szCs w:val="22"/>
        </w:rPr>
        <w:t xml:space="preserve">Fetch endpoint compliance reports for each mapped device to enable device-dependent checks.</w:t>
      </w:r>
    </w:p>
    <w:p>
      <w:pPr>
        <w:pStyle w:val="ListParagraph"/>
        <w:numPr>
          <w:ilvl w:val="0"/>
          <w:numId w:val="3"/>
        </w:numPr>
      </w:pPr>
      <w:r>
        <w:rPr>
          <w:rFonts w:ascii="Arial" w:cs="Arial" w:eastAsia="Arial" w:hAnsi="Arial"/>
          <w:sz w:val="22"/>
          <w:szCs w:val="22"/>
        </w:rPr>
        <w:t xml:space="preserve">Run all checks for the assigned template against the collected data.</w:t>
      </w:r>
    </w:p>
    <w:p>
      <w:pPr>
        <w:pStyle w:val="ListParagraph"/>
        <w:numPr>
          <w:ilvl w:val="0"/>
          <w:numId w:val="3"/>
        </w:numPr>
      </w:pPr>
      <w:r>
        <w:rPr>
          <w:rFonts w:ascii="Arial" w:cs="Arial" w:eastAsia="Arial" w:hAnsi="Arial"/>
          <w:sz w:val="22"/>
          <w:szCs w:val="22"/>
        </w:rPr>
        <w:t xml:space="preserve">Calculate score using the same weighted scoring formula as endpoint compliance.</w:t>
      </w:r>
    </w:p>
    <w:p>
      <w:pPr>
        <w:pStyle w:val="ListParagraph"/>
        <w:numPr>
          <w:ilvl w:val="0"/>
          <w:numId w:val="3"/>
        </w:numPr>
      </w:pPr>
      <w:r>
        <w:rPr>
          <w:rFonts w:ascii="Arial" w:cs="Arial" w:eastAsia="Arial" w:hAnsi="Arial"/>
          <w:sz w:val="22"/>
          <w:szCs w:val="22"/>
        </w:rPr>
        <w:t xml:space="preserve">Detect drift by comparing results against previous evaluation.</w:t>
      </w:r>
    </w:p>
    <w:p>
      <w:pPr>
        <w:pStyle w:val="ListParagraph"/>
        <w:numPr>
          <w:ilvl w:val="0"/>
          <w:numId w:val="3"/>
        </w:numPr>
      </w:pPr>
      <w:r>
        <w:rPr>
          <w:rFonts w:ascii="Arial" w:cs="Arial" w:eastAsia="Arial" w:hAnsi="Arial"/>
          <w:sz w:val="22"/>
          <w:szCs w:val="22"/>
        </w:rPr>
        <w:t xml:space="preserve">Persist report to user_compliance_reports (TimescaleDB hypertable). Update client_compliance_status user and unified scores.</w:t>
      </w:r>
    </w:p>
    <w:p>
      <w:pPr>
        <w:spacing w:before="80" w:after="80"/>
      </w:pPr>
      <w:r>
        <w:t xml:space="preserve"/>
      </w:r>
    </w:p>
    <w:p>
      <w:pPr>
        <w:pStyle w:val="Heading2"/>
        <w:spacing w:before="280" w:after="80"/>
      </w:pPr>
      <w:r>
        <w:rPr>
          <w:rFonts w:ascii="Arial" w:cs="Arial" w:eastAsia="Arial" w:hAnsi="Arial"/>
          <w:b/>
          <w:bCs/>
          <w:color w:val="0F1420"/>
          <w:sz w:val="26"/>
          <w:szCs w:val="26"/>
        </w:rPr>
        <w:t xml:space="preserve">3.3 Cloud Compliance Pipeline</w:t>
      </w:r>
    </w:p>
    <w:p>
      <w:pPr>
        <w:spacing w:before="60" w:after="60"/>
        <w:jc w:val="both"/>
      </w:pPr>
      <w:r>
        <w:rPr>
          <w:rFonts w:ascii="Arial" w:cs="Arial" w:eastAsia="Arial" w:hAnsi="Arial"/>
          <w:color w:val="1A1A1A"/>
          <w:sz w:val="22"/>
          <w:szCs w:val="22"/>
        </w:rPr>
        <w:t xml:space="preserve">Cloud compliance data is collected after each M365 security scan:</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Microsoft Secure Score is fetched from Graph /security/secureScores and stored in m365_security_scores.</w:t>
      </w:r>
    </w:p>
    <w:p>
      <w:pPr>
        <w:pStyle w:val="ListParagraph"/>
        <w:numPr>
          <w:ilvl w:val="0"/>
          <w:numId w:val="2"/>
        </w:numPr>
        <w:spacing w:before="40" w:after="40"/>
      </w:pPr>
      <w:r>
        <w:rPr>
          <w:rFonts w:ascii="Arial" w:cs="Arial" w:eastAsia="Arial" w:hAnsi="Arial"/>
          <w:color w:val="1A1A1A"/>
          <w:sz w:val="22"/>
          <w:szCs w:val="22"/>
        </w:rPr>
        <w:t xml:space="preserve">The percentage (current_score / max_score) is written to client_compliance_status.cloud_compliance_score.</w:t>
      </w:r>
    </w:p>
    <w:p>
      <w:pPr>
        <w:pStyle w:val="ListParagraph"/>
        <w:numPr>
          <w:ilvl w:val="0"/>
          <w:numId w:val="2"/>
        </w:numPr>
        <w:spacing w:before="40" w:after="40"/>
      </w:pPr>
      <w:r>
        <w:rPr>
          <w:rFonts w:ascii="Arial" w:cs="Arial" w:eastAsia="Arial" w:hAnsi="Arial"/>
          <w:color w:val="1A1A1A"/>
          <w:sz w:val="22"/>
          <w:szCs w:val="22"/>
        </w:rPr>
        <w:t xml:space="preserve">Threat detections are fetched from Graph /security/alerts_v2 and stored in m365_security_threats.</w:t>
      </w:r>
    </w:p>
    <w:p>
      <w:pPr>
        <w:pStyle w:val="ListParagraph"/>
        <w:numPr>
          <w:ilvl w:val="0"/>
          <w:numId w:val="2"/>
        </w:numPr>
        <w:spacing w:before="40" w:after="40"/>
      </w:pPr>
      <w:r>
        <w:rPr>
          <w:rFonts w:ascii="Arial" w:cs="Arial" w:eastAsia="Arial" w:hAnsi="Arial"/>
          <w:color w:val="1A1A1A"/>
          <w:sz w:val="22"/>
          <w:szCs w:val="22"/>
        </w:rPr>
        <w:t xml:space="preserve">Conditional Access policies are fetched from /identity/conditionalAccess/policies for the Entra password policy verification check.</w:t>
      </w:r>
    </w:p>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4. Entra ID Server-Side Verification</w:t>
      </w:r>
    </w:p>
    <w:p>
      <w:pPr>
        <w:spacing w:before="60" w:after="60"/>
        <w:jc w:val="both"/>
      </w:pPr>
      <w:r>
        <w:rPr>
          <w:rFonts w:ascii="Arial" w:cs="Arial" w:eastAsia="Arial" w:hAnsi="Arial"/>
          <w:color w:val="1A1A1A"/>
          <w:sz w:val="22"/>
          <w:szCs w:val="22"/>
        </w:rPr>
        <w:t xml:space="preserve">Password policy compliance on cloud-joined machines cannot be reliably evaluated using local net accounts output, because cloud-only accounts are not subject to local Windows password policies. OPSIS handles this with a server-side verification mechanism.</w:t>
      </w:r>
    </w:p>
    <w:p>
      <w:pPr>
        <w:spacing w:before="80" w:after="80"/>
      </w:pPr>
      <w:r>
        <w:t xml:space="preserve"/>
      </w:r>
    </w:p>
    <w:p>
      <w:pPr>
        <w:pStyle w:val="Heading2"/>
        <w:spacing w:before="280" w:after="80"/>
      </w:pPr>
      <w:r>
        <w:rPr>
          <w:rFonts w:ascii="Arial" w:cs="Arial" w:eastAsia="Arial" w:hAnsi="Arial"/>
          <w:b/>
          <w:bCs/>
          <w:color w:val="0F1420"/>
          <w:sz w:val="26"/>
          <w:szCs w:val="26"/>
        </w:rPr>
        <w:t xml:space="preserve">4.1 How It Works</w:t>
      </w:r>
    </w:p>
    <w:p>
      <w:pPr>
        <w:spacing w:before="60" w:after="60"/>
        <w:jc w:val="both"/>
      </w:pPr>
      <w:r>
        <w:rPr>
          <w:rFonts w:ascii="Arial" w:cs="Arial" w:eastAsia="Arial" w:hAnsi="Arial"/>
          <w:color w:val="1A1A1A"/>
          <w:sz w:val="22"/>
          <w:szCs w:val="22"/>
        </w:rPr>
        <w:t xml:space="preserve">When the Windows agent scans a password policy check and detects that the machine is cloud-joined (or the account has no local policy), it returns status='server_verification' with:</w:t>
      </w:r>
    </w:p>
    <w:p>
      <w:pPr>
        <w:spacing w:before="80" w:after="80"/>
      </w:pPr>
      <w:r>
        <w:t xml:space="preserve"/>
      </w:r>
    </w:p>
    <w:p>
      <w:pPr>
        <w:pStyle w:val="ListParagraph"/>
        <w:numPr>
          <w:ilvl w:val="0"/>
          <w:numId w:val="2"/>
        </w:numPr>
        <w:spacing w:before="40" w:after="40"/>
      </w:pPr>
      <w:r>
        <w:rPr>
          <w:rFonts w:ascii="Arial" w:cs="Arial" w:eastAsia="Arial" w:hAnsi="Arial"/>
          <w:color w:val="1A1A1A"/>
          <w:sz w:val="22"/>
          <w:szCs w:val="22"/>
        </w:rPr>
        <w:t xml:space="preserve">identity_provider: 'entra_id'</w:t>
      </w:r>
    </w:p>
    <w:p>
      <w:pPr>
        <w:pStyle w:val="ListParagraph"/>
        <w:numPr>
          <w:ilvl w:val="0"/>
          <w:numId w:val="2"/>
        </w:numPr>
        <w:spacing w:before="40" w:after="40"/>
      </w:pPr>
      <w:r>
        <w:rPr>
          <w:rFonts w:ascii="Arial" w:cs="Arial" w:eastAsia="Arial" w:hAnsi="Arial"/>
          <w:color w:val="1A1A1A"/>
          <w:sz w:val="22"/>
          <w:szCs w:val="22"/>
        </w:rPr>
        <w:t xml:space="preserve">entra_tenant_id: the Azure tenant GUID</w:t>
      </w:r>
    </w:p>
    <w:p>
      <w:pPr>
        <w:pStyle w:val="ListParagraph"/>
        <w:numPr>
          <w:ilvl w:val="0"/>
          <w:numId w:val="2"/>
        </w:numPr>
        <w:spacing w:before="40" w:after="40"/>
      </w:pPr>
      <w:r>
        <w:rPr>
          <w:rFonts w:ascii="Arial" w:cs="Arial" w:eastAsia="Arial" w:hAnsi="Arial"/>
          <w:color w:val="1A1A1A"/>
          <w:sz w:val="22"/>
          <w:szCs w:val="22"/>
        </w:rPr>
        <w:t xml:space="preserve">verification_context.requires: 'entra_conditional_access_check'</w:t>
      </w:r>
    </w:p>
    <w:p>
      <w:pPr>
        <w:pStyle w:val="ListParagraph"/>
        <w:numPr>
          <w:ilvl w:val="0"/>
          <w:numId w:val="2"/>
        </w:numPr>
        <w:spacing w:before="40" w:after="40"/>
      </w:pPr>
      <w:r>
        <w:rPr>
          <w:rFonts w:ascii="Arial" w:cs="Arial" w:eastAsia="Arial" w:hAnsi="Arial"/>
          <w:color w:val="1A1A1A"/>
          <w:sz w:val="22"/>
          <w:szCs w:val="22"/>
        </w:rPr>
        <w:t xml:space="preserve">local_policy: the raw net accounts output as context data</w:t>
      </w:r>
    </w:p>
    <w:p>
      <w:pPr>
        <w:spacing w:before="80" w:after="80"/>
      </w:pPr>
      <w:r>
        <w:t xml:space="preserve"/>
      </w:r>
    </w:p>
    <w:p>
      <w:pPr>
        <w:spacing w:before="60" w:after="60"/>
        <w:jc w:val="both"/>
      </w:pPr>
      <w:r>
        <w:rPr>
          <w:rFonts w:ascii="Arial" w:cs="Arial" w:eastAsia="Arial" w:hAnsi="Arial"/>
          <w:color w:val="1A1A1A"/>
          <w:sz w:val="22"/>
          <w:szCs w:val="22"/>
        </w:rPr>
        <w:t xml:space="preserve">When the OPSIS backend receives this result, it triggers the EntraComplianceVerifier service. The verifier:</w:t>
      </w:r>
    </w:p>
    <w:p>
      <w:pPr>
        <w:spacing w:before="80" w:after="80"/>
      </w:pPr>
      <w:r>
        <w:t xml:space="preserve"/>
      </w:r>
    </w:p>
    <w:p>
      <w:pPr>
        <w:pStyle w:val="ListParagraph"/>
        <w:numPr>
          <w:ilvl w:val="0"/>
          <w:numId w:val="3"/>
        </w:numPr>
      </w:pPr>
      <w:r>
        <w:rPr>
          <w:rFonts w:ascii="Arial" w:cs="Arial" w:eastAsia="Arial" w:hAnsi="Arial"/>
          <w:sz w:val="22"/>
          <w:szCs w:val="22"/>
        </w:rPr>
        <w:t xml:space="preserve">Looks up the tenant in m365_tenants by Azure tenant GUID.</w:t>
      </w:r>
    </w:p>
    <w:p>
      <w:pPr>
        <w:pStyle w:val="ListParagraph"/>
        <w:numPr>
          <w:ilvl w:val="0"/>
          <w:numId w:val="3"/>
        </w:numPr>
      </w:pPr>
      <w:r>
        <w:rPr>
          <w:rFonts w:ascii="Arial" w:cs="Arial" w:eastAsia="Arial" w:hAnsi="Arial"/>
          <w:sz w:val="22"/>
          <w:szCs w:val="22"/>
        </w:rPr>
        <w:t xml:space="preserve">Obtains a valid Graph API access token using stored client credentials (refreshing if expired).</w:t>
      </w:r>
    </w:p>
    <w:p>
      <w:pPr>
        <w:pStyle w:val="ListParagraph"/>
        <w:numPr>
          <w:ilvl w:val="0"/>
          <w:numId w:val="3"/>
        </w:numPr>
      </w:pPr>
      <w:r>
        <w:rPr>
          <w:rFonts w:ascii="Arial" w:cs="Arial" w:eastAsia="Arial" w:hAnsi="Arial"/>
          <w:sz w:val="22"/>
          <w:szCs w:val="22"/>
        </w:rPr>
        <w:t xml:space="preserve">Queries Graph for all Conditional Access policies and Security Defaults status.</w:t>
      </w:r>
    </w:p>
    <w:p>
      <w:pPr>
        <w:pStyle w:val="ListParagraph"/>
        <w:numPr>
          <w:ilvl w:val="0"/>
          <w:numId w:val="3"/>
        </w:numPr>
      </w:pPr>
      <w:r>
        <w:rPr>
          <w:rFonts w:ascii="Arial" w:cs="Arial" w:eastAsia="Arial" w:hAnsi="Arial"/>
          <w:sz w:val="22"/>
          <w:szCs w:val="22"/>
        </w:rPr>
        <w:t xml:space="preserve">Categorizes policies: mfa_enforced (state=enabled with MFA builtInControls), mfa_report_only (enabledForReportingButNotEnforced), legacy_auth_blocked.</w:t>
      </w:r>
    </w:p>
    <w:p>
      <w:pPr>
        <w:pStyle w:val="ListParagraph"/>
        <w:numPr>
          <w:ilvl w:val="0"/>
          <w:numId w:val="3"/>
        </w:numPr>
      </w:pPr>
      <w:r>
        <w:rPr>
          <w:rFonts w:ascii="Arial" w:cs="Arial" w:eastAsia="Arial" w:hAnsi="Arial"/>
          <w:sz w:val="22"/>
          <w:szCs w:val="22"/>
        </w:rPr>
        <w:t xml:space="preserve">Returns verdict: PASS if Security Defaults enabled OR enforced MFA CA policy exists. FAIL if only report-only mode. FAIL if no policies.</w:t>
      </w:r>
    </w:p>
    <w:p>
      <w:pPr>
        <w:pStyle w:val="ListParagraph"/>
        <w:numPr>
          <w:ilvl w:val="0"/>
          <w:numId w:val="3"/>
        </w:numPr>
      </w:pPr>
      <w:r>
        <w:rPr>
          <w:rFonts w:ascii="Arial" w:cs="Arial" w:eastAsia="Arial" w:hAnsi="Arial"/>
          <w:sz w:val="22"/>
          <w:szCs w:val="22"/>
        </w:rPr>
        <w:t xml:space="preserve">Updates the stored compliance report in-place with the verdict, evidence, and failure reason. Recalculates score.</w:t>
      </w:r>
    </w:p>
    <w:p>
      <w:pPr>
        <w:spacing w:before="80" w:after="80"/>
      </w:pPr>
      <w:r>
        <w:t xml:space="preserve"/>
      </w:r>
    </w:p>
    <w:p>
      <w:pPr>
        <w:pStyle w:val="Heading2"/>
        <w:spacing w:before="280" w:after="80"/>
      </w:pPr>
      <w:r>
        <w:rPr>
          <w:rFonts w:ascii="Arial" w:cs="Arial" w:eastAsia="Arial" w:hAnsi="Arial"/>
          <w:b/>
          <w:bCs/>
          <w:color w:val="0F1420"/>
          <w:sz w:val="26"/>
          <w:szCs w:val="26"/>
        </w:rPr>
        <w:t xml:space="preserve">4.2 Verdict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560"/>
        <w:gridCol w:w="4680"/>
      </w:tblGrid>
      <w:tr>
        <w:tc>
          <w:tcPr>
            <w:tcW w:type="dxa" w:w="312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Condition</w:t>
            </w:r>
          </w:p>
        </w:tc>
        <w:tc>
          <w:tcPr>
            <w:tcW w:type="dxa" w:w="15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Verdict</w:t>
            </w:r>
          </w:p>
        </w:tc>
        <w:tc>
          <w:tcPr>
            <w:tcW w:type="dxa" w:w="468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Reason</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Security Defaults enabled</w:t>
            </w:r>
          </w:p>
        </w:tc>
        <w:tc>
          <w:tcPr>
            <w:tcW w:type="dxa" w:w="1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Security Defaults enforce MFA and block legacy auth for all users.</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Enabled CA policy with MFA builtInControls</w:t>
            </w:r>
          </w:p>
        </w:tc>
        <w:tc>
          <w:tcPr>
            <w:tcW w:type="dxa" w:w="156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PASS</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MFA is actively enforced for users in scope of the policy.</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MFA CA policy in report-only mode</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FAIL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MFA is configured but not enforced. Users can authenticate without MFA.</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No MFA policies, no Security Defaults</w:t>
            </w:r>
          </w:p>
        </w:tc>
        <w:tc>
          <w:tcPr>
            <w:tcW w:type="dxa" w:w="156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FAIL</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No enforced authentication strength controls exist in the tenant.</w:t>
            </w:r>
          </w:p>
        </w:tc>
      </w:tr>
      <w:tr>
        <w:tc>
          <w:tcPr>
            <w:tcW w:type="dxa" w:w="31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Tenant not connected to OPSIS</w:t>
            </w:r>
          </w:p>
        </w:tc>
        <w:tc>
          <w:tcPr>
            <w:tcW w:type="dxa" w:w="1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N/A</w:t>
            </w:r>
          </w:p>
        </w:tc>
        <w:tc>
          <w:tcPr>
            <w:tcW w:type="dxa" w:w="468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Cannot evaluate. Tenant must be connected for server-side verification.</w:t>
            </w:r>
          </w:p>
        </w:tc>
      </w:tr>
    </w:tbl>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5. Compliance Framework Monitoring</w:t>
      </w:r>
    </w:p>
    <w:p>
      <w:pPr>
        <w:spacing w:before="60" w:after="60"/>
        <w:jc w:val="both"/>
      </w:pPr>
      <w:r>
        <w:rPr>
          <w:rFonts w:ascii="Arial" w:cs="Arial" w:eastAsia="Arial" w:hAnsi="Arial"/>
          <w:color w:val="1A1A1A"/>
          <w:sz w:val="22"/>
          <w:szCs w:val="22"/>
        </w:rPr>
        <w:t xml:space="preserve">OPSIS monitors four authoritative compliance framework sources for regulatory updates. When source content changes, Claude analyzes the diff and flags check definitions that may need updating. This keeps compliance templates current without manual maintenance.</w:t>
      </w:r>
    </w:p>
    <w:p>
      <w:pPr>
        <w:spacing w:before="80" w:after="80"/>
      </w:pPr>
      <w:r>
        <w:t xml:space="preserve"/>
      </w:r>
    </w:p>
    <w:p>
      <w:pPr>
        <w:pStyle w:val="Heading2"/>
        <w:spacing w:before="280" w:after="80"/>
      </w:pPr>
      <w:r>
        <w:rPr>
          <w:rFonts w:ascii="Arial" w:cs="Arial" w:eastAsia="Arial" w:hAnsi="Arial"/>
          <w:b/>
          <w:bCs/>
          <w:color w:val="0F1420"/>
          <w:sz w:val="26"/>
          <w:szCs w:val="26"/>
        </w:rPr>
        <w:t xml:space="preserve">5.1 Monitored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c>
          <w:tcPr>
            <w:tcW w:type="dxa" w:w="30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Source</w:t>
            </w:r>
          </w:p>
        </w:tc>
        <w:tc>
          <w:tcPr>
            <w:tcW w:type="dxa" w:w="18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Framework</w:t>
            </w:r>
          </w:p>
        </w:tc>
        <w:tc>
          <w:tcPr>
            <w:tcW w:type="dxa" w:w="45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URL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NIST SP 800-171r3</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CMMC</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csrc.nist.gov/pubs/sp/800/171/r3/final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NIST SP 800-53r5</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NIST / FedRAMP</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csrc.nist.gov/pubs/sp/800/53/r5/upd1/final</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HHS Federal Register API</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HIPAA</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federalregister.gov/api/v1/documents.json (HIPAA Security Rule)</w:t>
            </w:r>
          </w:p>
        </w:tc>
      </w:tr>
      <w:tr>
        <w:tc>
          <w:tcPr>
            <w:tcW w:type="dxa" w:w="3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PCI Security Standards Council</w:t>
            </w:r>
          </w:p>
        </w:tc>
        <w:tc>
          <w:tcPr>
            <w:tcW w:type="dxa" w:w="18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PCI-DSS</w:t>
            </w:r>
          </w:p>
        </w:tc>
        <w:tc>
          <w:tcPr>
            <w:tcW w:type="dxa" w:w="45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pcisecuritystandards.org/standards/pci-dss/</w:t>
            </w:r>
          </w:p>
        </w:tc>
      </w:tr>
    </w:tbl>
    <w:p>
      <w:pPr>
        <w:spacing w:before="80" w:after="80"/>
      </w:pPr>
      <w:r>
        <w:t xml:space="preserve"/>
      </w:r>
    </w:p>
    <w:p>
      <w:pPr>
        <w:spacing w:before="60" w:after="60"/>
        <w:jc w:val="both"/>
      </w:pPr>
      <w:r>
        <w:rPr>
          <w:rFonts w:ascii="Arial" w:cs="Arial" w:eastAsia="Arial" w:hAnsi="Arial"/>
          <w:color w:val="1A1A1A"/>
          <w:sz w:val="22"/>
          <w:szCs w:val="22"/>
        </w:rPr>
        <w:t xml:space="preserve">Sources are checked on a 30-day cycle. Content hash comparison detects changes. On change: the new content is stored in framework_content_snapshots, a Claude analysis job is queued, and the compliance_template_update_log is updated. Templates are never automatically modified — all updates require human review before activation.</w:t>
      </w:r>
    </w:p>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6. The Compliance Report</w:t>
      </w:r>
    </w:p>
    <w:p>
      <w:pPr>
        <w:spacing w:before="60" w:after="60"/>
        <w:jc w:val="both"/>
      </w:pPr>
      <w:r>
        <w:rPr>
          <w:rFonts w:ascii="Arial" w:cs="Arial" w:eastAsia="Arial" w:hAnsi="Arial"/>
          <w:color w:val="1A1A1A"/>
          <w:sz w:val="22"/>
          <w:szCs w:val="22"/>
        </w:rPr>
        <w:t xml:space="preserve">The OPSIS Unified Compliance Report is a multi-page PDF generated on demand from the Compliance &gt; Unified tab. It reflects live data at the moment of generation and is designed to be submitted directly to auditors.</w:t>
      </w:r>
    </w:p>
    <w:p>
      <w:pPr>
        <w:spacing w:before="80" w:after="80"/>
      </w:pPr>
      <w:r>
        <w:t xml:space="preserve"/>
      </w:r>
    </w:p>
    <w:p>
      <w:pPr>
        <w:pStyle w:val="Heading2"/>
        <w:spacing w:before="280" w:after="80"/>
      </w:pPr>
      <w:r>
        <w:rPr>
          <w:rFonts w:ascii="Arial" w:cs="Arial" w:eastAsia="Arial" w:hAnsi="Arial"/>
          <w:b/>
          <w:bCs/>
          <w:color w:val="0F1420"/>
          <w:sz w:val="26"/>
          <w:szCs w:val="26"/>
        </w:rPr>
        <w:t xml:space="preserve">6.1 Report Sections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Section</w:t>
            </w:r>
          </w:p>
        </w:tc>
        <w:tc>
          <w:tcPr>
            <w:tcW w:type="dxa" w:w="72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Contents</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Cover Page</w:t>
            </w:r>
          </w:p>
        </w:tc>
        <w:tc>
          <w:tcPr>
            <w:tcW w:type="dxa" w:w="7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Client name, generation timestamp (UTC), unified score, risk rating (HIGH/MEDIUM/LOW RISK), dimension scores with weights.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Executive Summary</w:t>
            </w:r>
          </w:p>
        </w:tc>
        <w:tc>
          <w:tcPr>
            <w:tcW w:type="dxa" w:w="7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Risk assessment narrative, top 5 remediation priorities with framework references and due dates (30-day critical SLA, 60-day recommended SLA), score breakdown table.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M365 Cloud</w:t>
            </w:r>
          </w:p>
        </w:tc>
        <w:tc>
          <w:tcPr>
            <w:tcW w:type="dxa" w:w="7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Microsoft Secure Score (points and percentage), evaluation timestamp, all active threat detections with severity/status/category, summary counts by status and severity.</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Endpoint Compliance</w:t>
            </w:r>
          </w:p>
        </w:tc>
        <w:tc>
          <w:tcPr>
            <w:tcW w:type="dxa" w:w="7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All checks with pass/fail/N/A/GPO/PENDING status, check name, framework reference, why it matters, data source, priority, actual value. Green background for PASS, red for FAIL.</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User Compliance</w:t>
            </w:r>
          </w:p>
        </w:tc>
        <w:tc>
          <w:tcPr>
            <w:tcW w:type="dxa" w:w="7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Per-user scores and check counts for all evaluated M365 users.</w:t>
            </w:r>
          </w:p>
        </w:tc>
      </w:tr>
      <w:tr>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User Check Detail</w:t>
            </w:r>
          </w:p>
        </w:tc>
        <w:tc>
          <w:tcPr>
            <w:tcW w:type="dxa" w:w="7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Failed checks per user with framework reference, actual value, why it matters, data source, and remediation deadline.</w:t>
            </w:r>
          </w:p>
        </w:tc>
      </w:tr>
      <w:tr>
        <w:tc>
          <w:tcPr>
            <w:tcW w:type="dxa" w:w="2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Attestation</w:t>
            </w:r>
          </w:p>
        </w:tc>
        <w:tc>
          <w:tcPr>
            <w:tcW w:type="dxa" w:w="7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Evidence references table with data source and collection date for each evidence type. Authorization block with signature lines for MSP technician, client representative, and auditor. Unique Report ID.</w:t>
            </w:r>
          </w:p>
        </w:tc>
      </w:tr>
    </w:tbl>
    <w:p>
      <w:pPr>
        <w:spacing w:before="80" w:after="80"/>
      </w:pPr>
      <w:r>
        <w:t xml:space="preserve"/>
      </w:r>
    </w:p>
    <w:p>
      <w:pPr>
        <w:pStyle w:val="Heading2"/>
        <w:spacing w:before="280" w:after="80"/>
      </w:pPr>
      <w:r>
        <w:rPr>
          <w:rFonts w:ascii="Arial" w:cs="Arial" w:eastAsia="Arial" w:hAnsi="Arial"/>
          <w:b/>
          <w:bCs/>
          <w:color w:val="0F1420"/>
          <w:sz w:val="26"/>
          <w:szCs w:val="26"/>
        </w:rPr>
        <w:t xml:space="preserve">6.2 Check Status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Status</w:t>
            </w:r>
          </w:p>
        </w:tc>
        <w:tc>
          <w:tcPr>
            <w:tcW w:type="dxa" w:w="792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Meaning</w:t>
            </w:r>
          </w:p>
        </w:tc>
      </w:tr>
      <w:tr>
        <w:tc>
          <w:tcPr>
            <w:tcW w:type="dxa" w:w="1440"/>
            <w:tcBorders>
              <w:top w:val="single" w:color="D1D5DB" w:sz="1"/>
              <w:left w:val="single" w:color="D1D5DB" w:sz="1"/>
              <w:bottom w:val="single" w:color="D1D5DB" w:sz="1"/>
              <w:right w:val="single" w:color="D1D5DB" w:sz="1"/>
            </w:tcBorders>
            <w:shd w:fill="DCFCE7" w:val="clear"/>
            <w:tcMar>
              <w:top w:type="dxa" w:w="80"/>
              <w:left w:type="dxa" w:w="120"/>
              <w:bottom w:type="dxa" w:w="80"/>
              <w:right w:type="dxa" w:w="120"/>
            </w:tcMar>
          </w:tcPr>
          <w:p>
            <w:r>
              <w:rPr>
                <w:rFonts w:ascii="Arial" w:cs="Arial" w:eastAsia="Arial" w:hAnsi="Arial"/>
                <w:b/>
                <w:bCs/>
                <w:color w:val="166534"/>
                <w:sz w:val="18"/>
                <w:szCs w:val="18"/>
              </w:rPr>
              <w:t xml:space="preserve">PASS</w:t>
            </w:r>
          </w:p>
        </w:tc>
        <w:tc>
          <w:tcPr>
            <w:tcW w:type="dxa" w:w="79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Check evaluated successfully. Actual value meets the requirement.</w:t>
            </w:r>
          </w:p>
        </w:tc>
      </w:tr>
      <w:tr>
        <w:tc>
          <w:tcPr>
            <w:tcW w:type="dxa" w:w="1440"/>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Arial" w:cs="Arial" w:eastAsia="Arial" w:hAnsi="Arial"/>
                <w:b/>
                <w:bCs/>
                <w:color w:val="991B1B"/>
                <w:sz w:val="18"/>
                <w:szCs w:val="18"/>
              </w:rPr>
              <w:t xml:space="preserve">FAIL</w:t>
            </w:r>
          </w:p>
        </w:tc>
        <w:tc>
          <w:tcPr>
            <w:tcW w:type="dxa" w:w="79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Check evaluated successfully. Actual value does not meet the requirement. Actual value is shown.</w:t>
            </w:r>
          </w:p>
        </w:tc>
      </w:tr>
      <w:tr>
        <w:tc>
          <w:tcPr>
            <w:tcW w:type="dxa" w:w="1440"/>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Arial" w:cs="Arial" w:eastAsia="Arial" w:hAnsi="Arial"/>
                <w:b/>
                <w:bCs/>
                <w:color w:val="92400E"/>
                <w:sz w:val="18"/>
                <w:szCs w:val="18"/>
              </w:rPr>
              <w:t xml:space="preserve">ERROR</w:t>
            </w:r>
          </w:p>
        </w:tc>
        <w:tc>
          <w:tcPr>
            <w:tcW w:type="dxa" w:w="79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Check ran but produced an error. The PowerShell command may have failed or returned unparseable output.</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N/A</w:t>
            </w:r>
          </w:p>
        </w:tc>
        <w:tc>
          <w:tcPr>
            <w:tcW w:type="dxa" w:w="79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Check does not apply to this environment. Examples: Defender checks when third-party AV is active; sign-in risk checks when AuditLog.Read.All permission is not granted.</w:t>
            </w:r>
          </w:p>
        </w:tc>
      </w:tr>
      <w:tr>
        <w:tc>
          <w:tcPr>
            <w:tcW w:type="dxa" w:w="1440"/>
            <w:tcBorders>
              <w:top w:val="single" w:color="D1D5DB" w:sz="1"/>
              <w:left w:val="single" w:color="D1D5DB" w:sz="1"/>
              <w:bottom w:val="single" w:color="D1D5DB" w:sz="1"/>
              <w:right w:val="single" w:color="D1D5DB" w:sz="1"/>
            </w:tcBorders>
            <w:shd w:fill="EDE9FE" w:val="clear"/>
            <w:tcMar>
              <w:top w:type="dxa" w:w="80"/>
              <w:left w:type="dxa" w:w="120"/>
              <w:bottom w:type="dxa" w:w="80"/>
              <w:right w:type="dxa" w:w="120"/>
            </w:tcMar>
          </w:tcPr>
          <w:p>
            <w:r>
              <w:rPr>
                <w:rFonts w:ascii="Arial" w:cs="Arial" w:eastAsia="Arial" w:hAnsi="Arial"/>
                <w:b/>
                <w:bCs/>
                <w:color w:val="5B21B6"/>
                <w:sz w:val="18"/>
                <w:szCs w:val="18"/>
              </w:rPr>
              <w:t xml:space="preserve">GPO</w:t>
            </w:r>
          </w:p>
        </w:tc>
        <w:tc>
          <w:tcPr>
            <w:tcW w:type="dxa" w:w="79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Setting is controlled by Group Policy. OPSIS detected the relevant GPO policy path in the registry. A ticket was created with the specific GPO path. No local overwrite was attempted.</w:t>
            </w:r>
          </w:p>
        </w:tc>
      </w:tr>
      <w:tr>
        <w:tc>
          <w:tcPr>
            <w:tcW w:type="dxa" w:w="1440"/>
            <w:tcBorders>
              <w:top w:val="single" w:color="D1D5DB" w:sz="1"/>
              <w:left w:val="single" w:color="D1D5DB" w:sz="1"/>
              <w:bottom w:val="single" w:color="D1D5DB" w:sz="1"/>
              <w:right w:val="single" w:color="D1D5DB" w:sz="1"/>
            </w:tcBorders>
            <w:shd w:fill="DBEAFE" w:val="clear"/>
            <w:tcMar>
              <w:top w:type="dxa" w:w="80"/>
              <w:left w:type="dxa" w:w="120"/>
              <w:bottom w:type="dxa" w:w="80"/>
              <w:right w:type="dxa" w:w="120"/>
            </w:tcMar>
          </w:tcPr>
          <w:p>
            <w:r>
              <w:rPr>
                <w:rFonts w:ascii="Arial" w:cs="Arial" w:eastAsia="Arial" w:hAnsi="Arial"/>
                <w:b/>
                <w:bCs/>
                <w:color w:val="1E3A8A"/>
                <w:sz w:val="18"/>
                <w:szCs w:val="18"/>
              </w:rPr>
              <w:t xml:space="preserve">PENDING</w:t>
            </w:r>
          </w:p>
        </w:tc>
        <w:tc>
          <w:tcPr>
            <w:tcW w:type="dxa" w:w="792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Check requires server-side verification (Entra ID CA policy evaluation) that was queued but not yet resolved at report generation time.</w:t>
            </w:r>
          </w:p>
        </w:tc>
      </w:tr>
    </w:tbl>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7. Database Schema</w:t>
      </w:r>
    </w:p>
    <w:p>
      <w:pPr>
        <w:spacing w:before="60" w:after="60"/>
        <w:jc w:val="both"/>
      </w:pPr>
      <w:r>
        <w:rPr>
          <w:rFonts w:ascii="Arial" w:cs="Arial" w:eastAsia="Arial" w:hAnsi="Arial"/>
          <w:color w:val="1A1A1A"/>
          <w:sz w:val="22"/>
          <w:szCs w:val="22"/>
        </w:rPr>
        <w:t xml:space="preserve">The following tables power the OPSIS compliance service. All tables are in the opsis_db PostgreSQL database. TimescaleDB hypertables are partitioned by their time column for efficient time-series queries.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Table</w:t>
            </w:r>
          </w:p>
        </w:tc>
        <w:tc>
          <w:tcPr>
            <w:tcW w:type="dxa" w:w="69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endpoint_compliance_reports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TimescaleDB hypertable. One row per device per scan. Stores full JSONB results, score, is_compliant, passed/failed counts, drift details.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compliance_templates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Four built-in templates with check definitions, scoring weights, minimum score, scan interval, auto_remediate flag, and framework slugs.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user_compliance_reports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TimescaleDB hypertable. One row per user per evaluation. Stores JSONB check results, score, is_compliant, passed/failed/N/A counts.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user_device_mappings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Maps user UPNs to device IDs with source (agent_logon, sign_in_log, registered_device) and logon_count. UNIQUE on user_upn + device_id.</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client_compliance_status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Aggregate per client. Stores cloud_compliance_score, endpoint_compliance_score, user_compliance_score, unified_compliance_score, and device/user counts.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m365_security_scores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Historical Secure Score records per tenant. current_score, max_score, percentage, recorded_at.</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m365_security_threats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Security detections from Microsoft Graph /security/alerts_v2. title, severity, status, category, detected_at.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compliance_framework_sources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Four monitored regulatory sources with URL, content_hash, last_checked_at, consecutive_failures, is_active.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framework_content_snapshots</w:t>
            </w:r>
          </w:p>
        </w:tc>
        <w:tc>
          <w:tcPr>
            <w:tcW w:type="dxa" w:w="69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Stored content snapshots for diff comparison when framework source changes are detected.</w:t>
            </w:r>
          </w:p>
        </w:tc>
      </w:tr>
    </w:tbl>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8. API Reference</w:t>
      </w:r>
    </w:p>
    <w:p>
      <w:pPr>
        <w:spacing w:before="60" w:after="60"/>
        <w:jc w:val="both"/>
      </w:pPr>
      <w:r>
        <w:rPr>
          <w:rFonts w:ascii="Arial" w:cs="Arial" w:eastAsia="Arial" w:hAnsi="Arial"/>
          <w:color w:val="1A1A1A"/>
          <w:sz w:val="22"/>
          <w:szCs w:val="22"/>
        </w:rPr>
        <w:t xml:space="preserve">All compliance endpoints are authenticated with JWT bearer tokens. Multi-tenant isolation is enforced — every query filters by client_id or tenant_id.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Endpoint</w:t>
            </w:r>
          </w:p>
        </w:tc>
        <w:tc>
          <w:tcPr>
            <w:tcW w:type="dxa" w:w="57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GET /api/compliance/unified/{client_id}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Current unified score and dimension breakdown for a client.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 /api/compliance/unified/{client_id}/breakdown</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Detailed breakdown of each dimension with check counts.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GET /api/compliance/endpoint/{device_id}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Latest endpoint compliance report for a device with enriched check names.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 /api/compliance/endpoint/{device_id}/history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Historical compliance scores for a device over time.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GET /api/compliance/endpoints/{client_id}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Compliance summary for all devices belonging to a client.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 /api/compliance/fleet</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Fleet-wide compliance overview across all clients.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GET /api/compliance/summary/{client_id}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Compliance summary with pass/fail counts and score for a client.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 /api/compliance/users/{client_id}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Per-user compliance scores for all M365 users in a client.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POST /api/compliance/users/{client_id}/evaluate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Trigger an on-demand user compliance evaluation for all users in a client.</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 /api/compliance/user/{user_upn}</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Latest compliance report for a single user.</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GET /api/compliance/templates</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List all available compliance templates.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POST /api/compliance/assign/device</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Assign a compliance template to a specific device.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POST /api/compliance/assign/group</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Assign a compliance template to an endpoint group.</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 /api/compliance/assignments/{client_id}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Current template assignments for all devices in a client.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bCs/>
                <w:color w:val="1A1A1A"/>
                <w:sz w:val="18"/>
                <w:szCs w:val="18"/>
              </w:rPr>
              <w:t xml:space="preserve">POST /api/compliance/framework-sources/check-now</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Manually trigger a framework source check for regulatory updates.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bCs/>
                <w:color w:val="1A1A1A"/>
                <w:sz w:val="18"/>
                <w:szCs w:val="18"/>
              </w:rPr>
              <w:t xml:space="preserve">GET /api/compliance/report/{client_id}/pdf</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Generate and return the full audit-ready unified compliance PDF report.</w:t>
            </w:r>
          </w:p>
        </w:tc>
      </w:tr>
    </w:tbl>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9. Key Files</w:t>
      </w:r>
    </w:p>
    <w:p>
      <w:pPr>
        <w:pStyle w:val="Heading2"/>
        <w:spacing w:before="280" w:after="80"/>
      </w:pPr>
      <w:r>
        <w:rPr>
          <w:rFonts w:ascii="Arial" w:cs="Arial" w:eastAsia="Arial" w:hAnsi="Arial"/>
          <w:b/>
          <w:bCs/>
          <w:color w:val="0F1420"/>
          <w:sz w:val="26"/>
          <w:szCs w:val="26"/>
        </w:rPr>
        <w:t xml:space="preserve">9.1 Backend Services (Python/FastAPI)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57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services/endpoint_compliance_handler.py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Processes compliance_report WebSocket messages. Stores reports, triggers Entra verification, recalculates scores.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services/endpoint_compliance_templates.py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BUILTIN_TEMPLATES list with all four framework templates and their check definitions.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services/user_compliance_service.py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UserComplianceService. Runs all user checks, manages user-device mapping, calculates scores, persists reports.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services/compliance_framework_monitor.py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Monitors four regulatory sources for updates. Seeds templates on startup. Runs on 30-day check cycle.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services/entra_compliance_verifier.py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Verifies password policy compliance via Entra ID Conditional Access when agent reports server_verification status.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services/compliance_pdf_service.py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ReportLab Platypus PDF generator. Produces the full audit-ready unified compliance report.</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api/endpoint_compliance_routes.py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REST endpoints for endpoint compliance data. Enriches results with check names from BUILTIN_TEMPLATES.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api/user_compliance_routes.py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REST endpoints for user compliance. Includes unified score, per-user detail, evaluation trigger, PDF generation.</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api/compliance_assignment_routes.py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Template assignment endpoints. Saves slug and immediately pushes via WebSocket if device is online.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api/compliance_template_routes.py</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Template management and framework source check endpoints.</w:t>
            </w:r>
          </w:p>
        </w:tc>
      </w:tr>
    </w:tbl>
    <w:p>
      <w:pPr>
        <w:spacing w:before="80" w:after="80"/>
      </w:pPr>
      <w:r>
        <w:t xml:space="preserve"/>
      </w:r>
    </w:p>
    <w:p>
      <w:pPr>
        <w:pStyle w:val="Heading2"/>
        <w:spacing w:before="280" w:after="80"/>
      </w:pPr>
      <w:r>
        <w:rPr>
          <w:rFonts w:ascii="Arial" w:cs="Arial" w:eastAsia="Arial" w:hAnsi="Arial"/>
          <w:b/>
          <w:bCs/>
          <w:color w:val="0F1420"/>
          <w:sz w:val="26"/>
          <w:szCs w:val="26"/>
        </w:rPr>
        <w:t xml:space="preserve">9.2 Agent TypeScript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File</w:t>
            </w:r>
          </w:p>
        </w:tc>
        <w:tc>
          <w:tcPr>
            <w:tcW w:type="dxa" w:w="57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src/service/compliance-scanner.ts</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Full ComplianceScanner class. Pre-scan environment detection, PowerShell execution, GPO-aware remediation, AV substitution, weighted scoring, drift detection, offline persistence.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src/service/compliance-scanner-types.ts</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TypeScript interfaces: ComplianceTemplate, ComplianceCheck, ComplianceResult, ComplianceReport, ScanEnvironment, ThirdPartyAVProduct. Seven comparison operators.</w:t>
            </w:r>
          </w:p>
        </w:tc>
      </w:tr>
      <w:tr>
        <w:tc>
          <w:tcPr>
            <w:tcW w:type="dxa" w:w="3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src/service/agent-service.ts (modified)</w:t>
            </w:r>
          </w:p>
        </w:tc>
        <w:tc>
          <w:tcPr>
            <w:tcW w:type="dxa" w:w="57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Imports compliance scanner, initializes on startup, handles compliance_template and request_compliance_scan WebSocket messages, flushes pending reports on reconnect.</w:t>
            </w:r>
          </w:p>
        </w:tc>
      </w:tr>
    </w:tbl>
    <w:p>
      <w:pPr>
        <w:spacing w:before="80" w:after="80"/>
      </w:pPr>
      <w:r>
        <w:t xml:space="preserve"/>
      </w:r>
    </w:p>
    <w:p>
      <w:r>
        <w:br w:type="page"/>
      </w:r>
    </w:p>
    <w:p>
      <w:pPr>
        <w:pStyle w:val="Heading1"/>
        <w:pBdr>
          <w:bottom w:val="single" w:color="2DD4FF" w:sz="6" w:space="1"/>
        </w:pBdr>
        <w:spacing w:before="360" w:after="120"/>
      </w:pPr>
      <w:r>
        <w:rPr>
          <w:rFonts w:ascii="Arial" w:cs="Arial" w:eastAsia="Arial" w:hAnsi="Arial"/>
          <w:b/>
          <w:bCs/>
          <w:color w:val="1A1A1A"/>
          <w:sz w:val="32"/>
          <w:szCs w:val="32"/>
        </w:rPr>
        <w:t xml:space="preserve">10. Known Limitations &amp; Pending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Limitation</w:t>
            </w:r>
          </w:p>
        </w:tc>
        <w:tc>
          <w:tcPr>
            <w:tcW w:type="dxa" w:w="6360"/>
            <w:tcBorders>
              <w:top w:val="single" w:color="D1D5DB" w:sz="1"/>
              <w:left w:val="single" w:color="D1D5DB" w:sz="1"/>
              <w:bottom w:val="single" w:color="D1D5DB" w:sz="1"/>
              <w:right w:val="single" w:color="D1D5DB" w:sz="1"/>
            </w:tcBorders>
            <w:shd w:fill="0F1420"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Detail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AuditLog.Read.All permission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This Azure permission is pending. Without it, last_sign_in is null for M365 users and sign-in risk checks (HIPAA-USR-08, CMMC-USR-05) return not_applicable. User-device mapping via sign-in logs is also blocked.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Agent rebuild required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The compliance-scanner.ts changes require a new agent binary to be compiled and deployed to endpoints. Until rebuilt, GPO detection, domain detection, and third-party AV substitution are not active.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Endpoint score pending</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Unified score calculation uses the last reported endpoint score. If the agent has not yet completed a scan cycle with the new scanner, the endpoint score may reflect an older evaluation.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PCI/SOX user checks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PCI-DSS and SOX user check sets are implemented. Sign-in risk checks within these sets require AuditLog.Read.All to fully evaluate.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Entra auth strength detection</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MFA detection checks builtInControls for 'mfa'. Tenants using authenticationStrength policies (newer Entra feature) will correctly return PASS only if the policy state is 'enabled', not report-only.</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b w:val="false"/>
                <w:bCs w:val="false"/>
                <w:color w:val="1A1A1A"/>
                <w:sz w:val="18"/>
                <w:szCs w:val="18"/>
              </w:rPr>
              <w:t xml:space="preserve">Template Builder deferred</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Custom compliance template creation from scratch is deferred to Month 4-5. Currently MSPs can fork and customize built-in templates. The full Template Builder UI is not yet available.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b w:val="false"/>
                <w:bCs w:val="false"/>
                <w:color w:val="1A1A1A"/>
                <w:sz w:val="18"/>
                <w:szCs w:val="18"/>
              </w:rPr>
              <w:t xml:space="preserve">Administrative controls</w:t>
            </w:r>
          </w:p>
        </w:tc>
        <w:tc>
          <w:tcPr>
            <w:tcW w:type="dxa" w:w="6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Arial" w:cs="Arial" w:eastAsia="Arial" w:hAnsi="Arial"/>
                <w:b w:val="false"/>
                <w:bCs w:val="false"/>
                <w:color w:val="1A1A1A"/>
                <w:sz w:val="18"/>
                <w:szCs w:val="18"/>
              </w:rPr>
              <w:t xml:space="preserve">OPSIS evaluates technical controls only. Administrative controls (policies, training records, vendor agreements) are outside scope and must be assessed separately.</w:t>
            </w:r>
          </w:p>
        </w:tc>
      </w:tr>
    </w:tbl>
    <w:p>
      <w:pPr>
        <w:spacing w:before="80" w:after="80"/>
      </w:pPr>
      <w:r>
        <w:t xml:space="preserve"/>
      </w:r>
    </w:p>
    <w:p>
      <w:pPr>
        <w:spacing w:before="80" w:after="80"/>
      </w:pPr>
      <w:r>
        <w:t xml:space="preserve"/>
      </w:r>
    </w:p>
    <w:p>
      <w:pPr>
        <w:pBdr>
          <w:top w:val="single" w:color="D1D5DB" w:sz="3" w:space="1"/>
        </w:pBdr>
        <w:spacing w:before="240"/>
        <w:jc w:val="center"/>
      </w:pPr>
      <w:r>
        <w:rPr>
          <w:rFonts w:ascii="Arial" w:cs="Arial" w:eastAsia="Arial" w:hAnsi="Arial"/>
          <w:i/>
          <w:iCs/>
          <w:color w:val="888888"/>
          <w:sz w:val="18"/>
          <w:szCs w:val="18"/>
        </w:rPr>
        <w:t xml:space="preserve">OPSIS — Autonomous IT Remediation Platform  |  Hues Technology LLC  |  opsisapp.com  |  Confidential</w:t>
      </w:r>
    </w:p>
    <w:sectPr>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sz w:val="32"/>
      <w:szCs w:val="32"/>
    </w:rPr>
  </w:style>
  <w:style w:type="paragraph" w:styleId="Heading2">
    <w:name w:val="Heading 2"/>
    <w:basedOn w:val="Normal"/>
    <w:next w:val="Normal"/>
    <w:qFormat/>
    <w:pPr>
      <w:spacing w:before="280" w:after="80"/>
      <w:outlineLvl w:val="1"/>
    </w:pPr>
    <w:rPr>
      <w:rFonts w:ascii="Arial" w:cs="Arial" w:eastAsia="Arial" w:hAnsi="Arial"/>
      <w:b/>
      <w:bCs/>
      <w:sz w:val="26"/>
      <w:szCs w:val="26"/>
    </w:rPr>
  </w:style>
  <w:style w:type="paragraph" w:styleId="Heading3">
    <w:name w:val="Heading 3"/>
    <w:basedOn w:val="Normal"/>
    <w:next w:val="Normal"/>
    <w:qFormat/>
    <w:pPr>
      <w:spacing w:before="200" w:after="6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2026-03-17T13:22:55.206Z</dcterms:created>
  <dcterms:modified xsi:type="dcterms:W3CDTF">2026-03-17T13:22:55.207Z</dcterms:modified>
</cp:coreProperties>
</file>

<file path=docProps/custom.xml><?xml version="1.0" encoding="utf-8"?>
<Properties xmlns="http://schemas.openxmlformats.org/officeDocument/2006/custom-properties" xmlns:vt="http://schemas.openxmlformats.org/officeDocument/2006/docPropsVTypes"/>
</file>