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📋 프로젝트 최종 정리 회의록 (0309, 강사 피드백 반영본)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작성일: 2026년 3월 9일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기준 노트북: `01_eda.ipynb`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피드백 핵심 반영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발표 핵심 메시지를 "유입 중심 성장"으로 재정의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분석 기준을 3개월 스냅샷(2025-03~05)으로 명확화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1에 MAU/총매출 성장 그래프 추가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5 스코어링에 효과크기(총매출/볼륨) 반영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비용 0원 채널 운영비 프록시 반영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예산안은 복잡한 투자 시나리오 대신 현재 예산 100% 재배분으로 단순화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최신 분석 결과 요약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5 모델A v2 상위: `google_ads`, `organic`, `referral`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8 집행 Top3(유료 집행 관점): `google_ads`, `referral`, `youtube`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9 최종 권고 우선순위: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P1 `google_ads` (38.7%)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P2 `youtube` (29.3%)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P3 `referral` (12.0%)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예산 재배분 최종 정책(100% 기준)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`organic = 0%` (마케팅 집행 예산 제외)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`referral = 12%` (비용 0 채널이지만 과대배분을 피하도록 조정 운영)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`meta_ads = 10%` (급격 축소 방지)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`instagram_influencer = 8%` (급격 축소 방지)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`content_marketing = 2%` (소액 테스트)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남은 예산은 `google_ads`, `youtube`에만 배분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최종 배분 비율: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`google_ads 38.7%`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`youtube 29.3%`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`referral 12.0%`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`meta_ads 10.0%`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`instagram_influencer 8.0%`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`content_marketing 2.0%`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`organic 0.0%`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산출물 경로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전체 리소스: `resources/all_steps/`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Step 8/9 요약 리소스: `resources/step8_step9/`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예산 재배분 표: `resources/all_steps/step09/tables/step9_5_budget_plan_100pct.csv`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예산 재배분 그래프: `resources/all_steps/step09/figures/step9_6_budget_plan_100pct.png`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