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图表渲染质量检查报告</w:t>
      </w:r>
    </w:p>
    <w:p>
      <w:pPr>
        <w:jc w:val="left"/>
      </w:pPr>
      <w:r>
        <w:rPr>
          <w:sz w:val="24"/>
        </w:rPr>
        <w:t>测试项目：7 类图表 × 商业级 v2 渲染管线 × 300 DPI × 2.5x 超采样</w:t>
      </w:r>
    </w:p>
    <w:p>
      <w:pPr>
        <w:pStyle w:val="Heading1"/>
      </w:pPr>
      <w:r>
        <w:t>一、渲染质量汇总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  <w:t>图表类型</w:t>
            </w:r>
          </w:p>
        </w:tc>
        <w:tc>
          <w:tcPr>
            <w:tcW w:type="dxa" w:w="1512"/>
          </w:tcPr>
          <w:p>
            <w:r>
              <w:rPr>
                <w:b/>
              </w:rPr>
              <w:t>像素尺寸</w:t>
            </w:r>
          </w:p>
        </w:tc>
        <w:tc>
          <w:tcPr>
            <w:tcW w:type="dxa" w:w="1512"/>
          </w:tcPr>
          <w:p>
            <w:r>
              <w:rPr>
                <w:b/>
              </w:rPr>
              <w:t>内嵌DPI</w:t>
            </w:r>
          </w:p>
        </w:tc>
        <w:tc>
          <w:tcPr>
            <w:tcW w:type="dxa" w:w="1512"/>
          </w:tcPr>
          <w:p>
            <w:r>
              <w:rPr>
                <w:b/>
              </w:rPr>
              <w:t>物理尺寸</w:t>
            </w:r>
          </w:p>
        </w:tc>
        <w:tc>
          <w:tcPr>
            <w:tcW w:type="dxa" w:w="1512"/>
          </w:tcPr>
          <w:p>
            <w:r>
              <w:rPr>
                <w:b/>
              </w:rPr>
              <w:t>文件大小</w:t>
            </w:r>
          </w:p>
        </w:tc>
        <w:tc>
          <w:tcPr>
            <w:tcW w:type="dxa" w:w="1512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512"/>
          </w:tcPr>
          <w:p>
            <w:r>
              <w:t>gantt (施工总进度计划)</w:t>
            </w:r>
          </w:p>
        </w:tc>
        <w:tc>
          <w:tcPr>
            <w:tcW w:type="dxa" w:w="1512"/>
          </w:tcPr>
          <w:p>
            <w:r>
              <w:t>4650×1175</w:t>
            </w:r>
          </w:p>
        </w:tc>
        <w:tc>
          <w:tcPr>
            <w:tcW w:type="dxa" w:w="1512"/>
          </w:tcPr>
          <w:p>
            <w:r>
              <w:t>300 ✅</w:t>
            </w:r>
          </w:p>
        </w:tc>
        <w:tc>
          <w:tcPr>
            <w:tcW w:type="dxa" w:w="1512"/>
          </w:tcPr>
          <w:p>
            <w:r>
              <w:t>39.4×9.9cm</w:t>
            </w:r>
          </w:p>
        </w:tc>
        <w:tc>
          <w:tcPr>
            <w:tcW w:type="dxa" w:w="1512"/>
          </w:tcPr>
          <w:p>
            <w:r>
              <w:t>133KB</w:t>
            </w:r>
          </w:p>
        </w:tc>
        <w:tc>
          <w:tcPr>
            <w:tcW w:type="dxa" w:w="1512"/>
          </w:tcPr>
          <w:p>
            <w:r>
              <w:t>✅</w:t>
            </w:r>
          </w:p>
        </w:tc>
      </w:tr>
      <w:tr>
        <w:tc>
          <w:tcPr>
            <w:tcW w:type="dxa" w:w="1512"/>
          </w:tcPr>
          <w:p>
            <w:r>
              <w:t>flowchart (施工工艺流程图)</w:t>
            </w:r>
          </w:p>
        </w:tc>
        <w:tc>
          <w:tcPr>
            <w:tcW w:type="dxa" w:w="1512"/>
          </w:tcPr>
          <w:p>
            <w:r>
              <w:t>5250×710</w:t>
            </w:r>
          </w:p>
        </w:tc>
        <w:tc>
          <w:tcPr>
            <w:tcW w:type="dxa" w:w="1512"/>
          </w:tcPr>
          <w:p>
            <w:r>
              <w:t>300 ✅</w:t>
            </w:r>
          </w:p>
        </w:tc>
        <w:tc>
          <w:tcPr>
            <w:tcW w:type="dxa" w:w="1512"/>
          </w:tcPr>
          <w:p>
            <w:r>
              <w:t>44.5×6.0cm</w:t>
            </w:r>
          </w:p>
        </w:tc>
        <w:tc>
          <w:tcPr>
            <w:tcW w:type="dxa" w:w="1512"/>
          </w:tcPr>
          <w:p>
            <w:r>
              <w:t>65KB</w:t>
            </w:r>
          </w:p>
        </w:tc>
        <w:tc>
          <w:tcPr>
            <w:tcW w:type="dxa" w:w="1512"/>
          </w:tcPr>
          <w:p>
            <w:r>
              <w:t>✅</w:t>
            </w:r>
          </w:p>
        </w:tc>
      </w:tr>
      <w:tr>
        <w:tc>
          <w:tcPr>
            <w:tcW w:type="dxa" w:w="1512"/>
          </w:tcPr>
          <w:p>
            <w:r>
              <w:t>architecture (项目组织架构图)</w:t>
            </w:r>
          </w:p>
        </w:tc>
        <w:tc>
          <w:tcPr>
            <w:tcW w:type="dxa" w:w="1512"/>
          </w:tcPr>
          <w:p>
            <w:r>
              <w:t>3190×1020</w:t>
            </w:r>
          </w:p>
        </w:tc>
        <w:tc>
          <w:tcPr>
            <w:tcW w:type="dxa" w:w="1512"/>
          </w:tcPr>
          <w:p>
            <w:r>
              <w:t>300 ✅</w:t>
            </w:r>
          </w:p>
        </w:tc>
        <w:tc>
          <w:tcPr>
            <w:tcW w:type="dxa" w:w="1512"/>
          </w:tcPr>
          <w:p>
            <w:r>
              <w:t>27.0×8.6cm</w:t>
            </w:r>
          </w:p>
        </w:tc>
        <w:tc>
          <w:tcPr>
            <w:tcW w:type="dxa" w:w="1512"/>
          </w:tcPr>
          <w:p>
            <w:r>
              <w:t>42KB</w:t>
            </w:r>
          </w:p>
        </w:tc>
        <w:tc>
          <w:tcPr>
            <w:tcW w:type="dxa" w:w="1512"/>
          </w:tcPr>
          <w:p>
            <w:r>
              <w:t>✅</w:t>
            </w:r>
          </w:p>
        </w:tc>
      </w:tr>
      <w:tr>
        <w:tc>
          <w:tcPr>
            <w:tcW w:type="dxa" w:w="1512"/>
          </w:tcPr>
          <w:p>
            <w:r>
              <w:t>labor (劳动力投入计划)</w:t>
            </w:r>
          </w:p>
        </w:tc>
        <w:tc>
          <w:tcPr>
            <w:tcW w:type="dxa" w:w="1512"/>
          </w:tcPr>
          <w:p>
            <w:r>
              <w:t>2930×1530</w:t>
            </w:r>
          </w:p>
        </w:tc>
        <w:tc>
          <w:tcPr>
            <w:tcW w:type="dxa" w:w="1512"/>
          </w:tcPr>
          <w:p>
            <w:r>
              <w:t>300 ✅</w:t>
            </w:r>
          </w:p>
        </w:tc>
        <w:tc>
          <w:tcPr>
            <w:tcW w:type="dxa" w:w="1512"/>
          </w:tcPr>
          <w:p>
            <w:r>
              <w:t>24.8×13.0cm</w:t>
            </w:r>
          </w:p>
        </w:tc>
        <w:tc>
          <w:tcPr>
            <w:tcW w:type="dxa" w:w="1512"/>
          </w:tcPr>
          <w:p>
            <w:r>
              <w:t>119KB</w:t>
            </w:r>
          </w:p>
        </w:tc>
        <w:tc>
          <w:tcPr>
            <w:tcW w:type="dxa" w:w="1512"/>
          </w:tcPr>
          <w:p>
            <w:r>
              <w:t>✅</w:t>
            </w:r>
          </w:p>
        </w:tc>
      </w:tr>
      <w:tr>
        <w:tc>
          <w:tcPr>
            <w:tcW w:type="dxa" w:w="1512"/>
          </w:tcPr>
          <w:p>
            <w:r>
              <w:t>comparison (主要材料占比分析)</w:t>
            </w:r>
          </w:p>
        </w:tc>
        <w:tc>
          <w:tcPr>
            <w:tcW w:type="dxa" w:w="1512"/>
          </w:tcPr>
          <w:p>
            <w:r>
              <w:t>2300×1215</w:t>
            </w:r>
          </w:p>
        </w:tc>
        <w:tc>
          <w:tcPr>
            <w:tcW w:type="dxa" w:w="1512"/>
          </w:tcPr>
          <w:p>
            <w:r>
              <w:t>300 ✅</w:t>
            </w:r>
          </w:p>
        </w:tc>
        <w:tc>
          <w:tcPr>
            <w:tcW w:type="dxa" w:w="1512"/>
          </w:tcPr>
          <w:p>
            <w:r>
              <w:t>19.5×10.3cm</w:t>
            </w:r>
          </w:p>
        </w:tc>
        <w:tc>
          <w:tcPr>
            <w:tcW w:type="dxa" w:w="1512"/>
          </w:tcPr>
          <w:p>
            <w:r>
              <w:t>87KB</w:t>
            </w:r>
          </w:p>
        </w:tc>
        <w:tc>
          <w:tcPr>
            <w:tcW w:type="dxa" w:w="1512"/>
          </w:tcPr>
          <w:p>
            <w:r>
              <w:t>✅</w:t>
            </w:r>
          </w:p>
        </w:tc>
      </w:tr>
      <w:tr>
        <w:tc>
          <w:tcPr>
            <w:tcW w:type="dxa" w:w="1512"/>
          </w:tcPr>
          <w:p>
            <w:r>
              <w:t>layout (施工现场平面布置图)</w:t>
            </w:r>
          </w:p>
        </w:tc>
        <w:tc>
          <w:tcPr>
            <w:tcW w:type="dxa" w:w="1512"/>
          </w:tcPr>
          <w:p>
            <w:r>
              <w:t>2010×1170</w:t>
            </w:r>
          </w:p>
        </w:tc>
        <w:tc>
          <w:tcPr>
            <w:tcW w:type="dxa" w:w="1512"/>
          </w:tcPr>
          <w:p>
            <w:r>
              <w:t>300 ✅</w:t>
            </w:r>
          </w:p>
        </w:tc>
        <w:tc>
          <w:tcPr>
            <w:tcW w:type="dxa" w:w="1512"/>
          </w:tcPr>
          <w:p>
            <w:r>
              <w:t>17.0×9.9cm</w:t>
            </w:r>
          </w:p>
        </w:tc>
        <w:tc>
          <w:tcPr>
            <w:tcW w:type="dxa" w:w="1512"/>
          </w:tcPr>
          <w:p>
            <w:r>
              <w:t>65KB</w:t>
            </w:r>
          </w:p>
        </w:tc>
        <w:tc>
          <w:tcPr>
            <w:tcW w:type="dxa" w:w="1512"/>
          </w:tcPr>
          <w:p>
            <w:r>
              <w:t>✅</w:t>
            </w:r>
          </w:p>
        </w:tc>
      </w:tr>
      <w:tr>
        <w:tc>
          <w:tcPr>
            <w:tcW w:type="dxa" w:w="1512"/>
          </w:tcPr>
          <w:p>
            <w:r>
              <w:t>timeline (里程碑计划)</w:t>
            </w:r>
          </w:p>
        </w:tc>
        <w:tc>
          <w:tcPr>
            <w:tcW w:type="dxa" w:w="1512"/>
          </w:tcPr>
          <w:p>
            <w:r>
              <w:t>2400×825</w:t>
            </w:r>
          </w:p>
        </w:tc>
        <w:tc>
          <w:tcPr>
            <w:tcW w:type="dxa" w:w="1512"/>
          </w:tcPr>
          <w:p>
            <w:r>
              <w:t>300 ✅</w:t>
            </w:r>
          </w:p>
        </w:tc>
        <w:tc>
          <w:tcPr>
            <w:tcW w:type="dxa" w:w="1512"/>
          </w:tcPr>
          <w:p>
            <w:r>
              <w:t>20.3×7.0cm</w:t>
            </w:r>
          </w:p>
        </w:tc>
        <w:tc>
          <w:tcPr>
            <w:tcW w:type="dxa" w:w="1512"/>
          </w:tcPr>
          <w:p>
            <w:r>
              <w:t>57KB</w:t>
            </w:r>
          </w:p>
        </w:tc>
        <w:tc>
          <w:tcPr>
            <w:tcW w:type="dxa" w:w="1512"/>
          </w:tcPr>
          <w:p>
            <w:r>
              <w:t>✅</w:t>
            </w:r>
          </w:p>
        </w:tc>
      </w:tr>
    </w:tbl>
    <w:p>
      <w:pPr>
        <w:pStyle w:val="Heading1"/>
      </w:pPr>
      <w:r>
        <w:t>二、各图表实际渲染效果</w:t>
      </w:r>
    </w:p>
    <w:p>
      <w:pPr>
        <w:pStyle w:val="Heading2"/>
      </w:pPr>
      <w:r>
        <w:t>2.1 GANTT — 施工总进度计划</w:t>
      </w:r>
    </w:p>
    <w:p>
      <w:pPr>
        <w:jc w:val="center"/>
        <w:ind w:firstLineChars="0" w:firstLine="0"/>
      </w:pPr>
      <w:r>
        <w:drawing>
          <wp:inline xmlns:a="http://schemas.openxmlformats.org/drawingml/2006/main" xmlns:pic="http://schemas.openxmlformats.org/drawingml/2006/picture">
            <wp:extent cx="5760000" cy="1455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360"/>
        <w:jc w:val="center"/>
        <w:ind w:firstLineChars="0" w:firstLine="0"/>
      </w:pPr>
      <w:r>
        <w:rPr>
          <w:rFonts w:ascii="宋体" w:hAnsi="宋体" w:eastAsia="宋体"/>
          <w:b/>
          <w:i w:val="0"/>
          <w:sz w:val="19"/>
        </w:rPr>
        <w:t>图2-1 施工总进度计划</w:t>
      </w:r>
    </w:p>
    <w:p>
      <w:pPr>
        <w:jc w:val="left"/>
      </w:pPr>
      <w:r>
        <w:rPr>
          <w:i/>
          <w:color w:val="666666"/>
          <w:sz w:val="16"/>
        </w:rPr>
        <w:t xml:space="preserve">  [技术参数] 4650×1175px, 内嵌 300 DPI, 物理尺寸 39.4×9.9cm, 文件 133KB</w:t>
      </w:r>
    </w:p>
    <w:p>
      <w:pPr>
        <w:pStyle w:val="Heading2"/>
      </w:pPr>
      <w:r>
        <w:t>2.2 FLOWCHART — 施工工艺流程图</w:t>
      </w:r>
    </w:p>
    <w:p>
      <w:pPr>
        <w:jc w:val="center"/>
        <w:ind w:firstLineChars="0" w:firstLine="0"/>
      </w:pPr>
      <w:r>
        <w:drawing>
          <wp:inline xmlns:a="http://schemas.openxmlformats.org/drawingml/2006/main" xmlns:pic="http://schemas.openxmlformats.org/drawingml/2006/picture">
            <wp:extent cx="5760000" cy="778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360"/>
        <w:jc w:val="center"/>
        <w:ind w:firstLineChars="0" w:firstLine="0"/>
      </w:pPr>
      <w:r>
        <w:rPr>
          <w:rFonts w:ascii="宋体" w:hAnsi="宋体" w:eastAsia="宋体"/>
          <w:b/>
          <w:i w:val="0"/>
          <w:sz w:val="19"/>
        </w:rPr>
        <w:t>图2-2 施工工艺流程图</w:t>
      </w:r>
    </w:p>
    <w:p>
      <w:pPr>
        <w:jc w:val="left"/>
      </w:pPr>
      <w:r>
        <w:rPr>
          <w:i/>
          <w:color w:val="666666"/>
          <w:sz w:val="16"/>
        </w:rPr>
        <w:t xml:space="preserve">  [技术参数] 5250×710px, 内嵌 300 DPI, 物理尺寸 44.5×6.0cm, 文件 65KB</w:t>
      </w:r>
    </w:p>
    <w:p>
      <w:pPr>
        <w:pStyle w:val="Heading2"/>
      </w:pPr>
      <w:r>
        <w:t>2.3 ARCHITECTURE — 项目组织架构图</w:t>
      </w:r>
    </w:p>
    <w:p>
      <w:pPr>
        <w:jc w:val="center"/>
        <w:ind w:firstLineChars="0" w:firstLine="0"/>
      </w:pPr>
      <w:r>
        <w:drawing>
          <wp:inline xmlns:a="http://schemas.openxmlformats.org/drawingml/2006/main" xmlns:pic="http://schemas.openxmlformats.org/drawingml/2006/picture">
            <wp:extent cx="5760000" cy="1841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1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360"/>
        <w:jc w:val="center"/>
        <w:ind w:firstLineChars="0" w:firstLine="0"/>
      </w:pPr>
      <w:r>
        <w:rPr>
          <w:rFonts w:ascii="宋体" w:hAnsi="宋体" w:eastAsia="宋体"/>
          <w:b/>
          <w:i w:val="0"/>
          <w:sz w:val="19"/>
        </w:rPr>
        <w:t>图2-3 项目组织架构图</w:t>
      </w:r>
    </w:p>
    <w:p>
      <w:pPr>
        <w:jc w:val="left"/>
      </w:pPr>
      <w:r>
        <w:rPr>
          <w:i/>
          <w:color w:val="666666"/>
          <w:sz w:val="16"/>
        </w:rPr>
        <w:t xml:space="preserve">  [技术参数] 3190×1020px, 内嵌 300 DPI, 物理尺寸 27.0×8.6cm, 文件 42KB</w:t>
      </w:r>
    </w:p>
    <w:p>
      <w:pPr>
        <w:pStyle w:val="Heading2"/>
      </w:pPr>
      <w:r>
        <w:t>2.4 LABOR — 劳动力投入计划</w:t>
      </w:r>
    </w:p>
    <w:p>
      <w:pPr>
        <w:jc w:val="center"/>
        <w:ind w:firstLineChars="0" w:firstLine="0"/>
      </w:pPr>
      <w:r>
        <w:drawing>
          <wp:inline xmlns:a="http://schemas.openxmlformats.org/drawingml/2006/main" xmlns:pic="http://schemas.openxmlformats.org/drawingml/2006/picture">
            <wp:extent cx="5760000" cy="3007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360"/>
        <w:jc w:val="center"/>
        <w:ind w:firstLineChars="0" w:firstLine="0"/>
      </w:pPr>
      <w:r>
        <w:rPr>
          <w:rFonts w:ascii="宋体" w:hAnsi="宋体" w:eastAsia="宋体"/>
          <w:b/>
          <w:i w:val="0"/>
          <w:sz w:val="19"/>
        </w:rPr>
        <w:t>图2-4 劳动力投入计划</w:t>
      </w:r>
    </w:p>
    <w:p>
      <w:pPr>
        <w:jc w:val="left"/>
      </w:pPr>
      <w:r>
        <w:rPr>
          <w:i/>
          <w:color w:val="666666"/>
          <w:sz w:val="16"/>
        </w:rPr>
        <w:t xml:space="preserve">  [技术参数] 2930×1530px, 内嵌 300 DPI, 物理尺寸 24.8×13.0cm, 文件 119KB</w:t>
      </w:r>
    </w:p>
    <w:p>
      <w:pPr>
        <w:pStyle w:val="Heading2"/>
      </w:pPr>
      <w:r>
        <w:t>2.5 COMPARISON — 主要材料占比分析</w:t>
      </w:r>
    </w:p>
    <w:p>
      <w:pPr>
        <w:jc w:val="center"/>
        <w:ind w:firstLineChars="0" w:firstLine="0"/>
      </w:pPr>
      <w:r>
        <w:drawing>
          <wp:inline xmlns:a="http://schemas.openxmlformats.org/drawingml/2006/main" xmlns:pic="http://schemas.openxmlformats.org/drawingml/2006/picture">
            <wp:extent cx="5760000" cy="30427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360"/>
        <w:jc w:val="center"/>
        <w:ind w:firstLineChars="0" w:firstLine="0"/>
      </w:pPr>
      <w:r>
        <w:rPr>
          <w:rFonts w:ascii="宋体" w:hAnsi="宋体" w:eastAsia="宋体"/>
          <w:b/>
          <w:i w:val="0"/>
          <w:sz w:val="19"/>
        </w:rPr>
        <w:t>图2-5 主要材料占比分析</w:t>
      </w:r>
    </w:p>
    <w:p>
      <w:pPr>
        <w:jc w:val="left"/>
      </w:pPr>
      <w:r>
        <w:rPr>
          <w:i/>
          <w:color w:val="666666"/>
          <w:sz w:val="16"/>
        </w:rPr>
        <w:t xml:space="preserve">  [技术参数] 2300×1215px, 内嵌 300 DPI, 物理尺寸 19.5×10.3cm, 文件 87KB</w:t>
      </w:r>
    </w:p>
    <w:p>
      <w:pPr>
        <w:pStyle w:val="Heading2"/>
      </w:pPr>
      <w:r>
        <w:t>2.6 LAYOUT — 施工现场平面布置图</w:t>
      </w:r>
    </w:p>
    <w:p>
      <w:pPr>
        <w:jc w:val="center"/>
        <w:ind w:firstLineChars="0" w:firstLine="0"/>
      </w:pPr>
      <w:r>
        <w:drawing>
          <wp:inline xmlns:a="http://schemas.openxmlformats.org/drawingml/2006/main" xmlns:pic="http://schemas.openxmlformats.org/drawingml/2006/picture">
            <wp:extent cx="5760000" cy="33528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2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360"/>
        <w:jc w:val="center"/>
        <w:ind w:firstLineChars="0" w:firstLine="0"/>
      </w:pPr>
      <w:r>
        <w:rPr>
          <w:rFonts w:ascii="宋体" w:hAnsi="宋体" w:eastAsia="宋体"/>
          <w:b/>
          <w:i w:val="0"/>
          <w:sz w:val="19"/>
        </w:rPr>
        <w:t>图2-6 施工现场平面布置图</w:t>
      </w:r>
    </w:p>
    <w:p>
      <w:pPr>
        <w:jc w:val="left"/>
      </w:pPr>
      <w:r>
        <w:rPr>
          <w:i/>
          <w:color w:val="666666"/>
          <w:sz w:val="16"/>
        </w:rPr>
        <w:t xml:space="preserve">  [技术参数] 2010×1170px, 内嵌 300 DPI, 物理尺寸 17.0×9.9cm, 文件 65KB</w:t>
      </w:r>
    </w:p>
    <w:p>
      <w:pPr>
        <w:pStyle w:val="Heading2"/>
      </w:pPr>
      <w:r>
        <w:t>2.7 TIMELINE — 里程碑计划</w:t>
      </w:r>
    </w:p>
    <w:p>
      <w:pPr>
        <w:jc w:val="center"/>
        <w:ind w:firstLineChars="0" w:firstLine="0"/>
      </w:pPr>
      <w:r>
        <w:drawing>
          <wp:inline xmlns:a="http://schemas.openxmlformats.org/drawingml/2006/main" xmlns:pic="http://schemas.openxmlformats.org/drawingml/2006/picture">
            <wp:extent cx="5760000" cy="19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360"/>
        <w:jc w:val="center"/>
        <w:ind w:firstLineChars="0" w:firstLine="0"/>
      </w:pPr>
      <w:r>
        <w:rPr>
          <w:rFonts w:ascii="宋体" w:hAnsi="宋体" w:eastAsia="宋体"/>
          <w:b/>
          <w:i w:val="0"/>
          <w:sz w:val="19"/>
        </w:rPr>
        <w:t>图2-7 里程碑计划</w:t>
      </w:r>
    </w:p>
    <w:p>
      <w:pPr>
        <w:jc w:val="left"/>
      </w:pPr>
      <w:r>
        <w:rPr>
          <w:i/>
          <w:color w:val="666666"/>
          <w:sz w:val="16"/>
        </w:rPr>
        <w:t xml:space="preserve">  [技术参数] 2400×825px, 内嵌 300 DPI, 物理尺寸 20.3×7.0cm, 文件 57KB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