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spacing w:after="60" w:before="400"/>
        <w:jc w:val="center"/>
      </w:pPr>
      <w:r>
        <w:rPr>
          <w:rFonts w:ascii="Arial" w:cs="Arial" w:eastAsia="Arial" w:hAnsi="Arial"/>
          <w:b/>
          <w:bCs/>
          <w:i w:val="false"/>
          <w:iCs w:val="false"/>
          <w:color w:val="14352A"/>
          <w:sz w:val="52"/>
          <w:szCs w:val="52"/>
        </w:rPr>
        <w:t xml:space="preserve">ANTIOQUIA 43</w:t>
      </w:r>
    </w:p>
    <w:p>
      <w:pPr>
        <w:spacing w:after="80" w:before="80" w:line="280"/>
        <w:jc w:val="center"/>
      </w:pPr>
      <w:r>
        <w:rPr>
          <w:rFonts w:ascii="Arial" w:cs="Arial" w:eastAsia="Arial" w:hAnsi="Arial"/>
          <w:b/>
          <w:bCs/>
          <w:i w:val="false"/>
          <w:iCs w:val="false"/>
          <w:color w:val="305C4D"/>
          <w:sz w:val="28"/>
          <w:szCs w:val="28"/>
        </w:rPr>
        <w:t xml:space="preserve">Addendum de Servicios Opcionales</w:t>
      </w:r>
    </w:p>
    <w:p>
      <w:pPr>
        <w:spacing w:after="80" w:before="80" w:line="280"/>
        <w:jc w:val="center"/>
      </w:pPr>
      <w:r>
        <w:rPr>
          <w:rFonts w:ascii="Arial" w:cs="Arial" w:eastAsia="Arial" w:hAnsi="Arial"/>
          <w:b/>
          <w:bCs/>
          <w:i w:val="false"/>
          <w:iCs w:val="false"/>
          <w:color w:val="345241"/>
          <w:sz w:val="22"/>
          <w:szCs w:val="22"/>
        </w:rPr>
        <w:t xml:space="preserve">Lavandería · Almacenamiento</w:t>
      </w:r>
    </w:p>
    <w:p>
      <w:pPr>
        <w:spacing w:after="80" w:before="80" w:line="280"/>
        <w:jc w:val="center"/>
      </w:pPr>
      <w:r>
        <w:rPr>
          <w:rFonts w:ascii="Arial" w:cs="Arial" w:eastAsia="Arial" w:hAnsi="Arial"/>
          <w:b w:val="false"/>
          <w:bCs w:val="false"/>
          <w:i/>
          <w:iCs/>
          <w:color w:val="888888"/>
          <w:sz w:val="21"/>
          <w:szCs w:val="21"/>
        </w:rPr>
        <w:t xml:space="preserve">Paseo de Antioquia No. 43 · Col. Lomas Estrella · Alcaldía Iztapalapa · CDMX · C.P. 09890</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iCs/>
          <w:color w:val="1A1A18"/>
          <w:sz w:val="20"/>
          <w:szCs w:val="20"/>
        </w:rPr>
        <w:t xml:space="preserve">Este Addendum forma parte del Contrato de Arrendamiento y regula los servicios opcionales de Lavandería y Almacenamiento. Estos servicios son prestados por una empresa prestadora de servicios distinta a la arrendadora persona física, y sus cargos generan IVA del 16% conforme a la LIVA. Los datos de la empresa prestadora se configuran desde el panel de administración de la aplicación oficial.</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pStyle w:val="Heading1"/>
        <w:spacing w:after="120" w:before="280"/>
      </w:pPr>
      <w:r>
        <w:rPr>
          <w:rFonts w:ascii="Arial" w:cs="Arial" w:eastAsia="Arial" w:hAnsi="Arial"/>
          <w:b/>
          <w:bCs/>
          <w:i w:val="false"/>
          <w:iCs w:val="false"/>
          <w:color w:val="14352A"/>
          <w:sz w:val="26"/>
          <w:szCs w:val="26"/>
        </w:rPr>
        <w:t xml:space="preserve">SECCIÓN 1. SERVICIO DE LAVANDERÍA</w:t>
      </w:r>
    </w:p>
    <w:p>
      <w:pPr>
        <w:pStyle w:val="Heading2"/>
        <w:spacing w:after="100" w:before="200"/>
      </w:pPr>
      <w:r>
        <w:rPr>
          <w:rFonts w:ascii="Arial" w:cs="Arial" w:eastAsia="Arial" w:hAnsi="Arial"/>
          <w:b/>
          <w:bCs/>
          <w:i w:val="false"/>
          <w:iCs w:val="false"/>
          <w:color w:val="305C4D"/>
          <w:sz w:val="23"/>
          <w:szCs w:val="23"/>
        </w:rPr>
        <w:t xml:space="preserve">1.1 Descripción y tarifas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Concepto</w:t>
            </w:r>
          </w:p>
        </w:tc>
        <w:tc>
          <w:tcPr>
            <w:tcW w:type="dxa" w:w="586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Detalle</w:t>
            </w:r>
          </w:p>
        </w:tc>
      </w:tr>
      <w:tr>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Modalidad mensual</w:t>
            </w:r>
          </w:p>
        </w:tc>
        <w:tc>
          <w:tcPr>
            <w:tcW w:type="dxa" w:w="5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$370.00 M.N. + IVA 16% = $429.20 M.N./mes · incluye 3 cargas</w:t>
            </w:r>
          </w:p>
        </w:tc>
      </w:tr>
      <w:tr>
        <w:tc>
          <w:tcPr>
            <w:tcW w:type="dxa" w:w="3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Carga extra</w:t>
            </w:r>
          </w:p>
        </w:tc>
        <w:tc>
          <w:tcPr>
            <w:tcW w:type="dxa" w:w="5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$150.00 M.N. + IVA 16% = $174.00 M.N. por carga adicional</w:t>
            </w:r>
          </w:p>
        </w:tc>
      </w:tr>
      <w:tr>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Horario</w:t>
            </w:r>
          </w:p>
        </w:tc>
        <w:tc>
          <w:tcPr>
            <w:tcW w:type="dxa" w:w="5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8:00 a 23:00 hrs</w:t>
            </w:r>
          </w:p>
        </w:tc>
      </w:tr>
      <w:tr>
        <w:tc>
          <w:tcPr>
            <w:tcW w:type="dxa" w:w="3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Frecuencia máxima</w:t>
            </w:r>
          </w:p>
        </w:tc>
        <w:tc>
          <w:tcPr>
            <w:tcW w:type="dxa" w:w="5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Máx. 2 cargas por semana</w:t>
            </w:r>
          </w:p>
        </w:tc>
      </w:tr>
      <w:tr>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Intervalo mínimo</w:t>
            </w:r>
          </w:p>
        </w:tc>
        <w:tc>
          <w:tcPr>
            <w:tcW w:type="dxa" w:w="5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30 minutos entre cargas</w:t>
            </w:r>
          </w:p>
        </w:tc>
      </w:tr>
      <w:tr>
        <w:tc>
          <w:tcPr>
            <w:tcW w:type="dxa" w:w="3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Confirmación</w:t>
            </w:r>
          </w:p>
        </w:tc>
        <w:tc>
          <w:tcPr>
            <w:tcW w:type="dxa" w:w="5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Automática o por el admin en 6 hrs</w:t>
            </w:r>
          </w:p>
        </w:tc>
      </w:tr>
      <w:tr>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Recordatorio</w:t>
            </w:r>
          </w:p>
        </w:tc>
        <w:tc>
          <w:tcPr>
            <w:tcW w:type="dxa" w:w="5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4 hrs antes de la carga programada</w:t>
            </w:r>
          </w:p>
        </w:tc>
      </w:tr>
    </w:tbl>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1.2 Condiciones de uso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El servicio se activa desde la app y el pago se registra junto con la renta mensual.</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dejar ropa en la lavadora más de 30 minutos después del ciclo.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Prohibido lavar calzado.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Cuentas con adeudo activo requieren autorización manual del admin.</w:t>
      </w:r>
    </w:p>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1.3 Garantía y responsabilidad por daños</w:t>
      </w:r>
    </w:p>
    <w:p>
      <w:pPr>
        <w:spacing w:after="80" w:before="80" w:line="280"/>
        <w:jc w:val="both"/>
      </w:pPr>
      <w:r>
        <w:rPr>
          <w:rFonts w:ascii="Arial" w:cs="Arial" w:eastAsia="Arial" w:hAnsi="Arial"/>
          <w:b w:val="false"/>
          <w:bCs w:val="false"/>
          <w:i w:val="false"/>
          <w:iCs w:val="false"/>
          <w:color w:val="1A1A18"/>
          <w:sz w:val="22"/>
          <w:szCs w:val="22"/>
        </w:rPr>
        <w:t xml:space="preserve">Al contratar este servicio, el usuario acepta que es responsable del uso correcto de la lavadora. Los daños causados por mal uso (sobrecarga, lavado de objetos prohibidos, manipulación indebida) generan un costo que la empresa prestadora traslada a la arrendadora, quien tiene derecho a recuperarlo de la garantía del usuario. (Arts. 1910, 2104, 2110, 2429, 1991, 2866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iCs/>
          <w:color w:val="1A1A18"/>
          <w:sz w:val="22"/>
          <w:szCs w:val="22"/>
        </w:rPr>
        <w:t xml:space="preserve">La garantía de este servicio equivale a una mensualidad. Se aplica únicamente para cubrir daños imputables al usuario y se devuelve al término del servicio si no hay adeudos ni daños pendientes.</w:t>
      </w:r>
    </w:p>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1.4 Facturación</w:t>
      </w:r>
    </w:p>
    <w:p>
      <w:pPr>
        <w:spacing w:after="80" w:before="80" w:line="280"/>
        <w:jc w:val="both"/>
      </w:pPr>
      <w:r>
        <w:rPr>
          <w:rFonts w:ascii="Arial" w:cs="Arial" w:eastAsia="Arial" w:hAnsi="Arial"/>
          <w:b w:val="false"/>
          <w:bCs w:val="false"/>
          <w:i w:val="false"/>
          <w:iCs w:val="false"/>
          <w:color w:val="1A1A18"/>
          <w:sz w:val="22"/>
          <w:szCs w:val="22"/>
        </w:rPr>
        <w:t xml:space="preserve">A solicitud del usuario, la empresa prestadora expide CFDI con IVA 16% desglosado. La solicitud se realiza desde la sección «Solicitar mi factura» de la app.</w:t>
      </w:r>
    </w:p>
    <w:p>
      <w:pPr>
        <w:pBdr>
          <w:bottom w:val="single" w:color="CDB29D" w:sz="3" w:space="1"/>
        </w:pBdr>
        <w:spacing w:after="200" w:before="200"/>
      </w:pPr>
      <w:r>
        <w:rPr>
          <w:rFonts w:ascii="Arial" w:cs="Arial" w:eastAsia="Arial" w:hAnsi="Arial"/>
          <w:b w:val="false"/>
          <w:bCs w:val="false"/>
          <w:i w:val="false"/>
          <w:iCs w:val="false"/>
          <w:color w:val="1A1A18"/>
          <w:sz w:val="22"/>
          <w:szCs w:val="22"/>
        </w:rPr>
        <w:t xml:space="preserve"/>
      </w:r>
    </w:p>
    <w:p>
      <w:pPr>
        <w:pStyle w:val="Heading1"/>
        <w:spacing w:after="120" w:before="280"/>
      </w:pPr>
      <w:r>
        <w:rPr>
          <w:rFonts w:ascii="Arial" w:cs="Arial" w:eastAsia="Arial" w:hAnsi="Arial"/>
          <w:b/>
          <w:bCs/>
          <w:i w:val="false"/>
          <w:iCs w:val="false"/>
          <w:color w:val="14352A"/>
          <w:sz w:val="26"/>
          <w:szCs w:val="26"/>
        </w:rPr>
        <w:t xml:space="preserve">SECCIÓN 2. SERVICIO DE ALMACENAMIENTO</w:t>
      </w:r>
    </w:p>
    <w:p>
      <w:pPr>
        <w:pStyle w:val="Heading2"/>
        <w:spacing w:after="100" w:before="200"/>
      </w:pPr>
      <w:r>
        <w:rPr>
          <w:rFonts w:ascii="Arial" w:cs="Arial" w:eastAsia="Arial" w:hAnsi="Arial"/>
          <w:b/>
          <w:bCs/>
          <w:i w:val="false"/>
          <w:iCs w:val="false"/>
          <w:color w:val="305C4D"/>
          <w:sz w:val="23"/>
          <w:szCs w:val="23"/>
        </w:rPr>
        <w:t xml:space="preserve">2.1 Descripción y tarifas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Concepto</w:t>
            </w:r>
          </w:p>
        </w:tc>
        <w:tc>
          <w:tcPr>
            <w:tcW w:type="dxa" w:w="586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Detalle</w:t>
            </w:r>
          </w:p>
        </w:tc>
      </w:tr>
      <w:tr>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Modalidad semanal</w:t>
            </w:r>
          </w:p>
        </w:tc>
        <w:tc>
          <w:tcPr>
            <w:tcW w:type="dxa" w:w="5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$78.00 M.N. + IVA 16% = $90.48 M.N./semana</w:t>
            </w:r>
          </w:p>
        </w:tc>
      </w:tr>
      <w:tr>
        <w:tc>
          <w:tcPr>
            <w:tcW w:type="dxa" w:w="3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Modalidad mensual</w:t>
            </w:r>
          </w:p>
        </w:tc>
        <w:tc>
          <w:tcPr>
            <w:tcW w:type="dxa" w:w="5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$240.00 M.N. + IVA 16% = $278.40 M.N./mes</w:t>
            </w:r>
          </w:p>
        </w:tc>
      </w:tr>
      <w:tr>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Espacios disponibles</w:t>
            </w:r>
          </w:p>
        </w:tc>
        <w:tc>
          <w:tcPr>
            <w:tcW w:type="dxa" w:w="5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15 lockers + 15 refrigeradores · mismo número por persona</w:t>
            </w:r>
          </w:p>
        </w:tc>
      </w:tr>
      <w:tr>
        <w:tc>
          <w:tcPr>
            <w:tcW w:type="dxa" w:w="3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Aviso de vencimiento</w:t>
            </w:r>
          </w:p>
        </w:tc>
        <w:tc>
          <w:tcPr>
            <w:tcW w:type="dxa" w:w="5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1 día antes del vencimiento</w:t>
            </w:r>
          </w:p>
        </w:tc>
      </w:tr>
    </w:tbl>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2.2 Condiciones de uso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Uso estrictamente personal e intransferible.</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Prohibido almacenar sustancias peligrosas, ilegales o alimentos con olor fuerte mal empacados.</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Desocupar el espacio el día de vencimiento.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La administración no se hace responsable por pérdida o daño de objetos almacenados salvo negligencia comprobable del personal.</w:t>
      </w:r>
    </w:p>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2.3 Garantía y responsabilidad por daños</w:t>
      </w:r>
    </w:p>
    <w:p>
      <w:pPr>
        <w:spacing w:after="80" w:before="80" w:line="280"/>
        <w:jc w:val="both"/>
      </w:pPr>
      <w:r>
        <w:rPr>
          <w:rFonts w:ascii="Arial" w:cs="Arial" w:eastAsia="Arial" w:hAnsi="Arial"/>
          <w:b w:val="false"/>
          <w:bCs w:val="false"/>
          <w:i w:val="false"/>
          <w:iCs w:val="false"/>
          <w:color w:val="1A1A18"/>
          <w:sz w:val="22"/>
          <w:szCs w:val="22"/>
        </w:rPr>
        <w:t xml:space="preserve">Los daños al locker o refrigerador causados por mal uso del usuario generan un costo que la empresa prestadora traslada a la arrendadora, quien tiene derecho a recuperarlo de la garantía del usuario. (Arts. 1910, 2104, 2110, 2429, 1991, 2866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iCs/>
          <w:color w:val="1A1A18"/>
          <w:sz w:val="22"/>
          <w:szCs w:val="22"/>
        </w:rPr>
        <w:t xml:space="preserve">La garantía de este servicio equivale a una mensualidad. Se aplica únicamente para cubrir daños imputables al usuario y se devuelve al término del servicio si no hay adeudos ni daños.</w:t>
      </w:r>
    </w:p>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2.4 Reporte de incidencias</w:t>
      </w:r>
    </w:p>
    <w:p>
      <w:pPr>
        <w:spacing w:after="80" w:before="80" w:line="280"/>
        <w:jc w:val="both"/>
      </w:pPr>
      <w:r>
        <w:rPr>
          <w:rFonts w:ascii="Arial" w:cs="Arial" w:eastAsia="Arial" w:hAnsi="Arial"/>
          <w:b w:val="false"/>
          <w:bCs w:val="false"/>
          <w:i w:val="false"/>
          <w:iCs w:val="false"/>
          <w:color w:val="1A1A18"/>
          <w:sz w:val="22"/>
          <w:szCs w:val="22"/>
        </w:rPr>
        <w:t xml:space="preserve">Cualquier incidencia (espacio ocupado por error, intento de apertura por terceros) debe reportarse a través del módulo de soporte, categoría «Almacenamiento».</w:t>
      </w:r>
    </w:p>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2.5 Facturación</w:t>
      </w:r>
    </w:p>
    <w:p>
      <w:pPr>
        <w:spacing w:after="80" w:before="80" w:line="280"/>
        <w:jc w:val="both"/>
      </w:pPr>
      <w:r>
        <w:rPr>
          <w:rFonts w:ascii="Arial" w:cs="Arial" w:eastAsia="Arial" w:hAnsi="Arial"/>
          <w:b w:val="false"/>
          <w:bCs w:val="false"/>
          <w:i w:val="false"/>
          <w:iCs w:val="false"/>
          <w:color w:val="1A1A18"/>
          <w:sz w:val="22"/>
          <w:szCs w:val="22"/>
        </w:rPr>
        <w:t xml:space="preserve">A solicitud del usuario, la empresa prestadora expide CFDI con IVA 16% desglosado. La solicitud se realiza desde la sección «Solicitar mi factura» de la app.</w:t>
      </w:r>
    </w:p>
    <w:p>
      <w:pPr>
        <w:pBdr>
          <w:bottom w:val="single" w:color="CDB29D" w:sz="3" w:space="1"/>
        </w:pBdr>
        <w:spacing w:after="200" w:before="200"/>
      </w:pPr>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spacing w:after="80" w:before="80" w:line="280"/>
        <w:jc w:val="center"/>
      </w:pPr>
      <w:r>
        <w:rPr>
          <w:rFonts w:ascii="Arial" w:cs="Arial" w:eastAsia="Arial" w:hAnsi="Arial"/>
          <w:b w:val="false"/>
          <w:bCs w:val="false"/>
          <w:i/>
          <w:iCs/>
          <w:color w:val="1A1A18"/>
          <w:sz w:val="22"/>
          <w:szCs w:val="22"/>
        </w:rPr>
        <w:t xml:space="preserve">El usuario declara haber leído y aceptado los términos de este Addendum. La activación de cualquier servicio desde la app implica la aceptación automática de estas condiciones.</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500"/>
        <w:gridCol w:w="360"/>
        <w:gridCol w:w="4500"/>
      </w:tblGrid>
      <w:tr>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r>
      <w:tr>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LA ARRENDADORA / EMPRESA PRESTADORA</w:t>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EL USUARIO</w:t>
            </w:r>
          </w:p>
        </w:tc>
      </w:tr>
    </w:tbl>
    <w:p>
      <w:r>
        <w:rPr>
          <w:rFonts w:ascii="Arial" w:cs="Arial" w:eastAsia="Arial" w:hAnsi="Arial"/>
          <w:b w:val="false"/>
          <w:bCs w:val="false"/>
          <w:i w:val="false"/>
          <w:iCs w:val="false"/>
          <w:color w:val="1A1A18"/>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500"/>
        <w:gridCol w:w="360"/>
        <w:gridCol w:w="4500"/>
      </w:tblGrid>
      <w:tr>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r>
      <w:tr>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Nombre y firma autorizada</w:t>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Nombre y firma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B29D" w:sz="3" w:space="2"/>
      </w:pBdr>
      <w:spacing w:before="80"/>
      <w:jc w:val="center"/>
    </w:pPr>
    <w:r>
      <w:rPr>
        <w:rFonts w:ascii="Arial" w:cs="Arial" w:eastAsia="Arial" w:hAnsi="Arial"/>
        <w:b w:val="false"/>
        <w:bCs w:val="false"/>
        <w:i w:val="false"/>
        <w:iCs w:val="false"/>
        <w:color w:val="305C4D"/>
        <w:sz w:val="18"/>
        <w:szCs w:val="18"/>
      </w:rPr>
      <w:t xml:space="preserve">Página </w:t>
    </w:r>
    <w:r>
      <w:rPr>
        <w:rFonts w:ascii="Arial" w:cs="Arial" w:eastAsia="Arial" w:hAnsi="Arial"/>
        <w:color w:val="305C4D"/>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305C4D"/>
        <w:sz w:val="18"/>
        <w:szCs w:val="18"/>
      </w:rPr>
      <w:t xml:space="preserve"> de </w:t>
    </w:r>
    <w:r>
      <w:rPr>
        <w:rFonts w:ascii="Arial" w:cs="Arial" w:eastAsia="Arial" w:hAnsi="Arial"/>
        <w:color w:val="305C4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B29D" w:sz="3" w:space="2"/>
      </w:pBdr>
      <w:spacing w:after="100"/>
      <w:jc w:val="right"/>
    </w:pPr>
    <w:r>
      <w:rPr>
        <w:rFonts w:ascii="Arial" w:cs="Arial" w:eastAsia="Arial" w:hAnsi="Arial"/>
        <w:b w:val="false"/>
        <w:bCs w:val="false"/>
        <w:i w:val="false"/>
        <w:iCs w:val="false"/>
        <w:color w:val="305C4D"/>
        <w:sz w:val="18"/>
        <w:szCs w:val="18"/>
      </w:rPr>
      <w:t xml:space="preserve">Antioquia 43 — Addendum de Servicios Opcionales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4352A"/>
      <w:sz w:val="26"/>
      <w:szCs w:val="26"/>
    </w:rPr>
  </w:style>
  <w:style w:type="paragraph" w:styleId="Heading2">
    <w:name w:val="Heading 2"/>
    <w:basedOn w:val="Normal"/>
    <w:next w:val="Normal"/>
    <w:pPr>
      <w:spacing w:after="100" w:before="200"/>
      <w:outlineLvl w:val="1"/>
    </w:pPr>
    <w:rPr>
      <w:rFonts w:ascii="Arial" w:cs="Arial" w:eastAsia="Arial" w:hAnsi="Arial"/>
      <w:b/>
      <w:bCs/>
      <w:color w:val="305C4D"/>
      <w:sz w:val="23"/>
      <w:szCs w:val="23"/>
    </w:rPr>
  </w:style>
  <w:style w:type="paragraph" w:styleId="Heading3">
    <w:name w:val="Heading 3"/>
    <w:basedOn w:val="Normal"/>
    <w:next w:val="Normal"/>
    <w:pPr>
      <w:spacing w:after="80" w:before="160"/>
      <w:outlineLvl w:val="2"/>
    </w:pPr>
    <w:rPr>
      <w:rFonts w:ascii="Arial" w:cs="Arial" w:eastAsia="Arial" w:hAnsi="Arial"/>
      <w:b/>
      <w:bCs/>
      <w:color w:val="3452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2026-05-20T05:22:32.894Z</dcterms:created>
  <dcterms:modified xsi:type="dcterms:W3CDTF">2026-05-20T05:22:32.894Z</dcterms:modified>
</cp:coreProperties>
</file>

<file path=docProps/custom.xml><?xml version="1.0" encoding="utf-8"?>
<Properties xmlns="http://schemas.openxmlformats.org/officeDocument/2006/custom-properties" xmlns:vt="http://schemas.openxmlformats.org/officeDocument/2006/docPropsVTypes"/>
</file>