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60" w:before="400"/>
        <w:jc w:val="center"/>
      </w:pPr>
      <w:r>
        <w:rPr>
          <w:rFonts w:ascii="Arial" w:cs="Arial" w:eastAsia="Arial" w:hAnsi="Arial"/>
          <w:b/>
          <w:bCs/>
          <w:i w:val="false"/>
          <w:iCs w:val="false"/>
          <w:color w:val="14352A"/>
          <w:sz w:val="56"/>
          <w:szCs w:val="56"/>
        </w:rPr>
        <w:t xml:space="preserve">ANTIOQUIA 43</w:t>
      </w:r>
    </w:p>
    <w:p>
      <w:pPr>
        <w:spacing w:after="80" w:before="80" w:line="280"/>
        <w:jc w:val="center"/>
      </w:pPr>
      <w:r>
        <w:rPr>
          <w:rFonts w:ascii="Arial" w:cs="Arial" w:eastAsia="Arial" w:hAnsi="Arial"/>
          <w:b/>
          <w:bCs/>
          <w:i w:val="false"/>
          <w:iCs w:val="false"/>
          <w:color w:val="305C4D"/>
          <w:sz w:val="28"/>
          <w:szCs w:val="28"/>
        </w:rPr>
        <w:t xml:space="preserve">Contrato de Arrendamiento de Habitación</w:t>
      </w:r>
    </w:p>
    <w:p>
      <w:pPr>
        <w:spacing w:after="80" w:before="80" w:line="280"/>
        <w:jc w:val="center"/>
      </w:pPr>
      <w:r>
        <w:rPr>
          <w:rFonts w:ascii="Arial" w:cs="Arial" w:eastAsia="Arial" w:hAnsi="Arial"/>
          <w:b w:val="false"/>
          <w:bCs w:val="false"/>
          <w:i/>
          <w:iCs/>
          <w:color w:val="888888"/>
          <w:sz w:val="21"/>
          <w:szCs w:val="21"/>
        </w:rPr>
        <w:t xml:space="preserve">Paseo de Antioquia No. 43 · Col. Lomas Estrella · Alcaldía Iztapalapa · CDMX · C.P. 09890</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Arrendadora:</w:t>
            </w:r>
          </w:p>
          <w:p>
            <w:pPr>
              <w:spacing w:after="80" w:before="80" w:line="280"/>
              <w:jc w:val="both"/>
            </w:pPr>
            <w:r>
              <w:rPr>
                <w:rFonts w:ascii="Arial" w:cs="Arial" w:eastAsia="Arial" w:hAnsi="Arial"/>
                <w:b/>
                <w:bCs/>
                <w:i w:val="false"/>
                <w:iCs w:val="false"/>
                <w:color w:val="305C4D"/>
                <w:sz w:val="21"/>
                <w:szCs w:val="21"/>
              </w:rPr>
              <w:t xml:space="preserve">BELEM CISNEROS DÍAZ</w:t>
            </w:r>
          </w:p>
        </w:tc>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Arrendatario/a:</w:t>
            </w:r>
          </w:p>
          <w:p>
            <w:pPr>
              <w:spacing w:after="80" w:before="80" w:line="280"/>
              <w:jc w:val="both"/>
            </w:pPr>
            <w:r>
              <w:rPr>
                <w:rFonts w:ascii="Arial" w:cs="Arial" w:eastAsia="Arial" w:hAnsi="Arial"/>
                <w:b w:val="false"/>
                <w:bCs w:val="false"/>
                <w:i w:val="false"/>
                <w:iCs w:val="false"/>
                <w:color w:val="305C4D"/>
                <w:sz w:val="21"/>
                <w:szCs w:val="21"/>
              </w:rPr>
              <w:t xml:space="preserve">____________________________________</w:t>
            </w:r>
          </w:p>
        </w:tc>
      </w:tr>
      <w:tr>
        <w:tc>
          <w:tcPr>
            <w:tcW w:type="dxa" w:w="468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Habitación núm.:</w:t>
            </w:r>
          </w:p>
          <w:p>
            <w:pPr>
              <w:spacing w:after="80" w:before="80" w:line="280"/>
              <w:jc w:val="both"/>
            </w:pPr>
            <w:r>
              <w:rPr>
                <w:rFonts w:ascii="Arial" w:cs="Arial" w:eastAsia="Arial" w:hAnsi="Arial"/>
                <w:b w:val="false"/>
                <w:bCs w:val="false"/>
                <w:i w:val="false"/>
                <w:iCs w:val="false"/>
                <w:color w:val="305C4D"/>
                <w:sz w:val="21"/>
                <w:szCs w:val="21"/>
              </w:rPr>
              <w:t xml:space="preserve">___________</w:t>
            </w:r>
          </w:p>
        </w:tc>
        <w:tc>
          <w:tcPr>
            <w:tcW w:type="dxa" w:w="468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Fecha de inicio:</w:t>
            </w:r>
          </w:p>
          <w:p>
            <w:pPr>
              <w:spacing w:after="80" w:before="80" w:line="280"/>
              <w:jc w:val="both"/>
            </w:pPr>
            <w:r>
              <w:rPr>
                <w:rFonts w:ascii="Arial" w:cs="Arial" w:eastAsia="Arial" w:hAnsi="Arial"/>
                <w:b w:val="false"/>
                <w:bCs w:val="false"/>
                <w:i w:val="false"/>
                <w:iCs w:val="false"/>
                <w:color w:val="305C4D"/>
                <w:sz w:val="21"/>
                <w:szCs w:val="21"/>
              </w:rPr>
              <w:t xml:space="preserve">____________________________________</w:t>
            </w:r>
          </w:p>
        </w:tc>
      </w:tr>
      <w:tr>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Modalidad de pago:</w:t>
            </w:r>
          </w:p>
          <w:p>
            <w:pPr>
              <w:spacing w:after="80" w:before="80" w:line="280"/>
              <w:jc w:val="both"/>
            </w:pPr>
            <w:r>
              <w:rPr>
                <w:rFonts w:ascii="Arial" w:cs="Arial" w:eastAsia="Arial" w:hAnsi="Arial"/>
                <w:b w:val="false"/>
                <w:bCs w:val="false"/>
                <w:i w:val="false"/>
                <w:iCs w:val="false"/>
                <w:color w:val="1A1A18"/>
                <w:sz w:val="20"/>
                <w:szCs w:val="20"/>
              </w:rPr>
              <w:t xml:space="preserve">☐ Mensual   ☐ Semanal (mín. 2 meses)</w:t>
            </w:r>
          </w:p>
        </w:tc>
        <w:tc>
          <w:tcPr>
            <w:tcW w:type="dxa" w:w="46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Renta pactada:</w:t>
            </w:r>
          </w:p>
          <w:p>
            <w:pPr>
              <w:spacing w:after="80" w:before="80" w:line="280"/>
              <w:jc w:val="both"/>
            </w:pPr>
            <w:r>
              <w:rPr>
                <w:rFonts w:ascii="Arial" w:cs="Arial" w:eastAsia="Arial" w:hAnsi="Arial"/>
                <w:b w:val="false"/>
                <w:bCs w:val="false"/>
                <w:i w:val="false"/>
                <w:iCs w:val="false"/>
                <w:color w:val="305C4D"/>
                <w:sz w:val="21"/>
                <w:szCs w:val="21"/>
              </w:rPr>
              <w:t xml:space="preserve">$ _______________ M.N.</w:t>
            </w:r>
          </w:p>
        </w:tc>
      </w:tr>
      <w:tr>
        <w:tc>
          <w:tcPr>
            <w:tcW w:type="dxa" w:w="9360"/>
            <w:tcBorders>
              <w:top w:val="single" w:color="D5CBC0" w:sz="1"/>
              <w:left w:val="single" w:color="D5CBC0" w:sz="1"/>
              <w:bottom w:val="single" w:color="D5CBC0" w:sz="1"/>
              <w:right w:val="single" w:color="D5CBC0" w:sz="1"/>
            </w:tcBorders>
            <w:tcMar>
              <w:top w:type="dxa" w:w="90"/>
              <w:left w:type="dxa" w:w="120"/>
              <w:bottom w:type="dxa" w:w="90"/>
              <w:right w:type="dxa" w:w="120"/>
            </w:tcMar>
            <w:vAlign w:val="center"/>
          </w:tcPr>
          <w:p>
            <w:pPr>
              <w:spacing w:after="80" w:before="80" w:line="280"/>
              <w:jc w:val="both"/>
            </w:pPr>
            <w:r>
              <w:rPr>
                <w:rFonts w:ascii="Arial" w:cs="Arial" w:eastAsia="Arial" w:hAnsi="Arial"/>
                <w:b/>
                <w:bCs/>
                <w:i w:val="false"/>
                <w:iCs w:val="false"/>
                <w:color w:val="1A1A18"/>
                <w:sz w:val="21"/>
                <w:szCs w:val="21"/>
              </w:rPr>
              <w:t xml:space="preserve">Límite de ocupantes para esta habitación:</w:t>
            </w:r>
          </w:p>
          <w:p>
            <w:pPr>
              <w:spacing w:after="80" w:before="80" w:line="280"/>
              <w:jc w:val="both"/>
            </w:pPr>
            <w:r>
              <w:rPr>
                <w:rFonts w:ascii="Arial" w:cs="Arial" w:eastAsia="Arial" w:hAnsi="Arial"/>
                <w:b w:val="false"/>
                <w:bCs w:val="false"/>
                <w:i w:val="false"/>
                <w:iCs w:val="false"/>
                <w:color w:val="1A1A18"/>
                <w:sz w:val="20"/>
                <w:szCs w:val="20"/>
              </w:rPr>
              <w:t xml:space="preserve">☐ 1 persona   ☐ Máx. 2 personas   ☐ Máx. 3 personas</w:t>
            </w:r>
          </w:p>
        </w:tc>
      </w:tr>
    </w:tbl>
    <w:p>
      <w:r>
        <w:rPr>
          <w:rFonts w:ascii="Arial" w:cs="Arial" w:eastAsia="Arial" w:hAnsi="Arial"/>
          <w:b w:val="false"/>
          <w:bCs w:val="false"/>
          <w:i w:val="false"/>
          <w:iCs w:val="false"/>
          <w:color w:val="1A1A18"/>
          <w:sz w:val="22"/>
          <w:szCs w:val="22"/>
        </w:rPr>
        <w:t xml:space="preserve"/>
      </w:r>
    </w:p>
    <w:p>
      <w:pPr>
        <w:spacing w:after="80" w:before="180"/>
      </w:pPr>
      <w:r>
        <w:rPr>
          <w:rFonts w:ascii="Arial" w:cs="Arial" w:eastAsia="Arial" w:hAnsi="Arial"/>
          <w:b/>
          <w:bCs/>
          <w:i w:val="false"/>
          <w:iCs w:val="false"/>
          <w:color w:val="14352A"/>
          <w:sz w:val="22"/>
          <w:szCs w:val="22"/>
        </w:rPr>
        <w:t xml:space="preserve">¿CUÁNTAS PERSONAS VIVIRÁN EN LA HABITACIÓN?</w:t>
      </w:r>
    </w:p>
    <w:p>
      <w:pPr>
        <w:spacing w:after="80" w:before="80" w:line="280"/>
        <w:jc w:val="both"/>
      </w:pPr>
      <w:r>
        <w:rPr>
          <w:rFonts w:ascii="Arial" w:cs="Arial" w:eastAsia="Arial" w:hAnsi="Arial"/>
          <w:b w:val="false"/>
          <w:bCs w:val="false"/>
          <w:i/>
          <w:iCs/>
          <w:color w:val="666666"/>
          <w:sz w:val="20"/>
          <w:szCs w:val="20"/>
        </w:rPr>
        <w:t xml:space="preserve">Marca la opción que corresponda, respetando el límite indicado arriba para esta habitación.</w:t>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1980"/>
        <w:gridCol w:w="1900"/>
      </w:tblGrid>
      <w:tr>
        <w:trPr>
          <w:tblHeader/>
        </w:trPr>
        <w:tc>
          <w:tcPr>
            <w:tcW w:type="dxa" w:w="36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¿Cuántas personas vivirán en la habitación?</w:t>
            </w:r>
          </w:p>
        </w:tc>
        <w:tc>
          <w:tcPr>
            <w:tcW w:type="dxa" w:w="188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Ocupantes</w:t>
            </w:r>
          </w:p>
        </w:tc>
        <w:tc>
          <w:tcPr>
            <w:tcW w:type="dxa" w:w="198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Renta mensual</w:t>
            </w:r>
          </w:p>
        </w:tc>
        <w:tc>
          <w:tcPr>
            <w:tcW w:type="dxa" w:w="19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Garantía requerida</w:t>
            </w:r>
          </w:p>
        </w:tc>
      </w:tr>
      <w:tr>
        <w:tc>
          <w:tcPr>
            <w:tcW w:type="dxa" w:w="36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  Solo yo</w:t>
            </w:r>
          </w:p>
        </w:tc>
        <w:tc>
          <w:tcPr>
            <w:tcW w:type="dxa" w:w="18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1</w:t>
            </w:r>
          </w:p>
        </w:tc>
        <w:tc>
          <w:tcPr>
            <w:tcW w:type="dxa" w:w="19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 ________________</w:t>
            </w:r>
          </w:p>
        </w:tc>
        <w:tc>
          <w:tcPr>
            <w:tcW w:type="dxa" w:w="19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 ________________</w:t>
            </w:r>
          </w:p>
        </w:tc>
      </w:tr>
      <w:tr>
        <w:tc>
          <w:tcPr>
            <w:tcW w:type="dxa" w:w="36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  Yo y una persona más (declarada desde el inicio)</w:t>
            </w:r>
          </w:p>
        </w:tc>
        <w:tc>
          <w:tcPr>
            <w:tcW w:type="dxa" w:w="188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2</w:t>
            </w:r>
          </w:p>
        </w:tc>
        <w:tc>
          <w:tcPr>
            <w:tcW w:type="dxa" w:w="198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 ________________
(base + $500)</w:t>
            </w:r>
          </w:p>
        </w:tc>
        <w:tc>
          <w:tcPr>
            <w:tcW w:type="dxa" w:w="19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 ________________</w:t>
            </w:r>
          </w:p>
        </w:tc>
      </w:tr>
      <w:tr>
        <w:tc>
          <w:tcPr>
            <w:tcW w:type="dxa" w:w="36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  Yo y dos personas más — sujeto al límite de esta habitación</w:t>
            </w:r>
          </w:p>
        </w:tc>
        <w:tc>
          <w:tcPr>
            <w:tcW w:type="dxa" w:w="18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3</w:t>
            </w:r>
          </w:p>
        </w:tc>
        <w:tc>
          <w:tcPr>
            <w:tcW w:type="dxa" w:w="198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 ________________
(base + $1,000)</w:t>
            </w:r>
          </w:p>
        </w:tc>
        <w:tc>
          <w:tcPr>
            <w:tcW w:type="dxa" w:w="19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 ________________</w:t>
            </w:r>
          </w:p>
        </w:tc>
      </w:tr>
    </w:tbl>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CBC0" w:sz="1"/>
              <w:left w:val="single" w:color="D5CBC0" w:sz="1"/>
              <w:bottom w:val="single" w:color="D5CBC0" w:sz="1"/>
              <w:right w:val="single" w:color="D5CBC0" w:sz="1"/>
            </w:tcBorders>
            <w:shd w:fill="FAF7F2" w:val="clear"/>
            <w:tcMar>
              <w:top w:type="dxa" w:w="90"/>
              <w:left w:type="dxa" w:w="120"/>
              <w:bottom w:type="dxa" w:w="90"/>
              <w:right w:type="dxa" w:w="120"/>
            </w:tcMar>
            <w:vAlign w:val="center"/>
          </w:tcPr>
          <w:p>
            <w:pPr>
              <w:spacing w:after="40" w:before="60"/>
            </w:pPr>
            <w:r>
              <w:rPr>
                <w:rFonts w:ascii="Arial" w:cs="Arial" w:eastAsia="Arial" w:hAnsi="Arial"/>
                <w:b/>
                <w:bCs/>
                <w:i w:val="false"/>
                <w:iCs w:val="false"/>
                <w:color w:val="345241"/>
                <w:sz w:val="20"/>
                <w:szCs w:val="20"/>
              </w:rPr>
              <w:t xml:space="preserve">Personas adicionales declaradas desde el inicio (si aplica):</w:t>
            </w:r>
          </w:p>
          <w:p>
            <w:pPr>
              <w:spacing w:after="30" w:before="40"/>
            </w:pPr>
            <w:r>
              <w:rPr>
                <w:rFonts w:ascii="Arial" w:cs="Arial" w:eastAsia="Arial" w:hAnsi="Arial"/>
                <w:b w:val="false"/>
                <w:bCs w:val="false"/>
                <w:i w:val="false"/>
                <w:iCs w:val="false"/>
                <w:color w:val="1A1A18"/>
                <w:sz w:val="19"/>
                <w:szCs w:val="19"/>
              </w:rPr>
              <w:t xml:space="preserve">Persona 2 — Nombre completo: ________________________________  Parentesco/relación: ________________  INE adjunta: ☐</w:t>
            </w:r>
          </w:p>
          <w:p>
            <w:pPr>
              <w:spacing w:after="40" w:before="30"/>
            </w:pPr>
            <w:r>
              <w:rPr>
                <w:rFonts w:ascii="Arial" w:cs="Arial" w:eastAsia="Arial" w:hAnsi="Arial"/>
                <w:b w:val="false"/>
                <w:bCs w:val="false"/>
                <w:i w:val="false"/>
                <w:iCs w:val="false"/>
                <w:color w:val="1A1A18"/>
                <w:sz w:val="19"/>
                <w:szCs w:val="19"/>
              </w:rPr>
              <w:t xml:space="preserve">Persona 3 — Nombre completo: ________________________________  Parentesco/relación: ________________  INE adjunta: ☐</w:t>
            </w:r>
          </w:p>
        </w:tc>
      </w:tr>
    </w:tbl>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DECLARACIONES</w:t>
      </w:r>
    </w:p>
    <w:p>
      <w:pPr>
        <w:pStyle w:val="Heading2"/>
        <w:spacing w:after="100" w:before="200"/>
      </w:pPr>
      <w:r>
        <w:rPr>
          <w:rFonts w:ascii="Arial" w:cs="Arial" w:eastAsia="Arial" w:hAnsi="Arial"/>
          <w:b/>
          <w:bCs/>
          <w:i w:val="false"/>
          <w:iCs w:val="false"/>
          <w:color w:val="305C4D"/>
          <w:sz w:val="23"/>
          <w:szCs w:val="23"/>
        </w:rPr>
        <w:t xml:space="preserve">I. Declara la Arrendadora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Que es legítima poseedora del inmueble y tiene derecho a arrendarlo. (Arts. 2398, 2412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Que la habitación se entregará en las condiciones que ambas partes establezcan y acepten al momento de la entrega.</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II. Declara el Arrendatario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Que desea rentar la habitación para vivir en ella personalmente.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Que la ocupará junto con las personas declaradas en la portada y ninguna más sin previo acuerdo. (Arts. 2412, 2489 CCDF)</w:t>
      </w:r>
    </w:p>
    <w:p>
      <w:r>
        <w:rPr>
          <w:rFonts w:ascii="Arial" w:cs="Arial" w:eastAsia="Arial" w:hAnsi="Arial"/>
          <w:b w:val="false"/>
          <w:bCs w:val="false"/>
          <w:i w:val="false"/>
          <w:iCs w:val="false"/>
          <w:color w:val="1A1A18"/>
          <w:sz w:val="22"/>
          <w:szCs w:val="22"/>
        </w:rPr>
        <w:t xml:space="preserve"/>
      </w:r>
    </w:p>
    <w:p>
      <w:pPr>
        <w:pStyle w:val="Heading2"/>
        <w:spacing w:after="100" w:before="200"/>
      </w:pPr>
      <w:r>
        <w:rPr>
          <w:rFonts w:ascii="Arial" w:cs="Arial" w:eastAsia="Arial" w:hAnsi="Arial"/>
          <w:b/>
          <w:bCs/>
          <w:i w:val="false"/>
          <w:iCs w:val="false"/>
          <w:color w:val="305C4D"/>
          <w:sz w:val="23"/>
          <w:szCs w:val="23"/>
        </w:rPr>
        <w:t xml:space="preserve">III. Acuerdan ambas partes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Que este contrato los obliga a lo que aquí se pacta, con buena fe y respeto mutuo. (Arts. 1796, 1797, 1832 CCDF; Arts. 14 y 16 CPEUM)</w:t>
      </w:r>
    </w:p>
    <w:p>
      <w:pPr>
        <w:pStyle w:val="Heading1"/>
        <w:spacing w:after="120" w:before="280"/>
      </w:pPr>
      <w:r>
        <w:rPr>
          <w:rFonts w:ascii="Arial" w:cs="Arial" w:eastAsia="Arial" w:hAnsi="Arial"/>
          <w:b/>
          <w:bCs/>
          <w:i w:val="false"/>
          <w:iCs w:val="false"/>
          <w:color w:val="14352A"/>
          <w:sz w:val="26"/>
          <w:szCs w:val="26"/>
        </w:rPr>
        <w:t xml:space="preserve">CLÁUSULA I. LA HABITACIÓN</w:t>
      </w:r>
    </w:p>
    <w:p>
      <w:pPr>
        <w:spacing w:after="80" w:before="80" w:line="280"/>
        <w:jc w:val="both"/>
      </w:pPr>
      <w:r>
        <w:rPr>
          <w:rFonts w:ascii="Arial" w:cs="Arial" w:eastAsia="Arial" w:hAnsi="Arial"/>
          <w:b w:val="false"/>
          <w:bCs w:val="false"/>
          <w:i w:val="false"/>
          <w:iCs w:val="false"/>
          <w:color w:val="1A1A18"/>
          <w:sz w:val="22"/>
          <w:szCs w:val="22"/>
        </w:rPr>
        <w:t xml:space="preserve">La Arrendadora concede el uso de la habitación indicada en la portada, incluyendo las áreas comunes conforme al Reglamento Interno. La habitación es para vivienda personal — no para ningún otro uso. (Arts. 2398, 2399, 2400, 2412 CCDF)</w:t>
      </w:r>
    </w:p>
    <w:p>
      <w:pPr>
        <w:pStyle w:val="Heading1"/>
        <w:spacing w:after="120" w:before="280"/>
      </w:pPr>
      <w:r>
        <w:rPr>
          <w:rFonts w:ascii="Arial" w:cs="Arial" w:eastAsia="Arial" w:hAnsi="Arial"/>
          <w:b/>
          <w:bCs/>
          <w:i w:val="false"/>
          <w:iCs w:val="false"/>
          <w:color w:val="14352A"/>
          <w:sz w:val="26"/>
          <w:szCs w:val="26"/>
        </w:rPr>
        <w:t xml:space="preserve">CLÁUSULA II. LÍMITE DE OCUPANTES</w:t>
      </w:r>
    </w:p>
    <w:p>
      <w:pPr>
        <w:spacing w:after="80" w:before="80" w:line="280"/>
        <w:jc w:val="both"/>
      </w:pPr>
      <w:r>
        <w:rPr>
          <w:rFonts w:ascii="Arial" w:cs="Arial" w:eastAsia="Arial" w:hAnsi="Arial"/>
          <w:b w:val="false"/>
          <w:bCs w:val="false"/>
          <w:i w:val="false"/>
          <w:iCs w:val="false"/>
          <w:color w:val="1A1A18"/>
          <w:sz w:val="22"/>
          <w:szCs w:val="22"/>
        </w:rPr>
        <w:t xml:space="preserve">El número máximo de personas que pueden vivir en esta habitación está indicado en la portada de este contrato. Dicho límite es determinado por la Arrendadora según las características físicas de cada habitación y en ningún caso excederá de 3 personas en total (titular más dos acompañantes). (Arts. 2400, 2412, 2489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Este límite no puede modificarse sin autorización escrita de la Arrendadora. Superar el número de ocupantes indicado en la portada se considerará incumplimiento contractual y causa de rescisión. (Art. 2489 CCDF)</w:t>
      </w:r>
    </w:p>
    <w:p>
      <w:pPr>
        <w:pStyle w:val="Heading1"/>
        <w:spacing w:after="120" w:before="280"/>
      </w:pPr>
      <w:r>
        <w:rPr>
          <w:rFonts w:ascii="Arial" w:cs="Arial" w:eastAsia="Arial" w:hAnsi="Arial"/>
          <w:b/>
          <w:bCs/>
          <w:i w:val="false"/>
          <w:iCs w:val="false"/>
          <w:color w:val="14352A"/>
          <w:sz w:val="26"/>
          <w:szCs w:val="26"/>
        </w:rPr>
        <w:t xml:space="preserve">CLÁUSULA III. TIEMPO DEL CONTRATO</w:t>
      </w:r>
    </w:p>
    <w:p>
      <w:pPr>
        <w:spacing w:after="80" w:before="80" w:line="280"/>
        <w:jc w:val="both"/>
      </w:pPr>
      <w:r>
        <w:rPr>
          <w:rFonts w:ascii="Arial" w:cs="Arial" w:eastAsia="Arial" w:hAnsi="Arial"/>
          <w:b w:val="false"/>
          <w:bCs w:val="false"/>
          <w:i w:val="false"/>
          <w:iCs w:val="false"/>
          <w:color w:val="1A1A18"/>
          <w:sz w:val="22"/>
          <w:szCs w:val="22"/>
        </w:rPr>
        <w:t xml:space="preserve">El contrato comienza el día indicado en la portada. Al vencerse se renueva automáticamente si ninguna de las partes avisa lo contrario. Cualquiera puede terminarlo avisando con al menos 15 días naturales de anticipación. (Arts. 2478, 2479, 2483 CCDF)</w:t>
      </w:r>
    </w:p>
    <w:p>
      <w:pPr>
        <w:pStyle w:val="Heading1"/>
        <w:spacing w:after="120" w:before="280"/>
      </w:pPr>
      <w:r>
        <w:rPr>
          <w:rFonts w:ascii="Arial" w:cs="Arial" w:eastAsia="Arial" w:hAnsi="Arial"/>
          <w:b/>
          <w:bCs/>
          <w:i w:val="false"/>
          <w:iCs w:val="false"/>
          <w:color w:val="14352A"/>
          <w:sz w:val="26"/>
          <w:szCs w:val="26"/>
        </w:rPr>
        <w:t xml:space="preserve">CLÁUSULA IV. LA RENTA</w:t>
      </w:r>
    </w:p>
    <w:p>
      <w:pPr>
        <w:spacing w:after="80" w:before="80" w:line="280"/>
        <w:jc w:val="both"/>
      </w:pPr>
      <w:r>
        <w:rPr>
          <w:rFonts w:ascii="Arial" w:cs="Arial" w:eastAsia="Arial" w:hAnsi="Arial"/>
          <w:b w:val="false"/>
          <w:bCs w:val="false"/>
          <w:i w:val="false"/>
          <w:iCs w:val="false"/>
          <w:color w:val="1A1A18"/>
          <w:sz w:val="22"/>
          <w:szCs w:val="22"/>
        </w:rPr>
        <w:t xml:space="preserve">La renta es la acordada en la portada. Se paga por adelantado cada mes (o cada semana en modalidad semanal) en la fecha registrada en el sistema. Tienes 3 días de margen — si al cuarto día no hay pago, revisamos juntos la situación. (Arts. 2400, 2425, 2427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IV.1 La renta cubre el periodo completo</w:t>
      </w:r>
    </w:p>
    <w:p>
      <w:pPr>
        <w:spacing w:after="80" w:before="80" w:line="280"/>
        <w:jc w:val="both"/>
      </w:pPr>
      <w:r>
        <w:rPr>
          <w:rFonts w:ascii="Arial" w:cs="Arial" w:eastAsia="Arial" w:hAnsi="Arial"/>
          <w:b w:val="false"/>
          <w:bCs w:val="false"/>
          <w:i w:val="false"/>
          <w:iCs w:val="false"/>
          <w:color w:val="1A1A18"/>
          <w:sz w:val="22"/>
          <w:szCs w:val="22"/>
        </w:rPr>
        <w:t xml:space="preserve">Una vez realizado el pago, ese periodo está cubierto sin importar si decides no usar la habitación, salir de viaje o cualquier otra razón. La renta no se descuenta ni se reembolsa de forma proporcional. Esto aplica a la renta y a cualquier cargo adicional. (Arts. 2398, 2486 CCDF; Art. 2448-J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IV.2 Personas adicionales durante tu estancia</w:t>
      </w:r>
    </w:p>
    <w:p>
      <w:pPr>
        <w:spacing w:after="80" w:before="80" w:line="280"/>
        <w:jc w:val="both"/>
      </w:pPr>
      <w:r>
        <w:rPr>
          <w:rFonts w:ascii="Arial" w:cs="Arial" w:eastAsia="Arial" w:hAnsi="Arial"/>
          <w:b w:val="false"/>
          <w:bCs w:val="false"/>
          <w:i w:val="false"/>
          <w:iCs w:val="false"/>
          <w:color w:val="1A1A18"/>
          <w:sz w:val="22"/>
          <w:szCs w:val="22"/>
        </w:rPr>
        <w:t xml:space="preserve">Si durante tu estadía alguien más viene a vivir contigo, lo registras en la app y acordamos el ajuste, siempre dentro del límite de ocupantes de tu habitación:</w:t>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1200"/>
        <w:gridCol w:w="3360"/>
      </w:tblGrid>
      <w:tr>
        <w:trPr>
          <w:tblHeader/>
        </w:trPr>
        <w:tc>
          <w:tcPr>
            <w:tcW w:type="dxa" w:w="16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Momento del registro</w:t>
            </w:r>
          </w:p>
        </w:tc>
        <w:tc>
          <w:tcPr>
            <w:tcW w:type="dxa" w:w="15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Opción semanal</w:t>
            </w:r>
          </w:p>
        </w:tc>
        <w:tc>
          <w:tcPr>
            <w:tcW w:type="dxa" w:w="17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Opción mensual</w:t>
            </w:r>
          </w:p>
        </w:tc>
        <w:tc>
          <w:tcPr>
            <w:tcW w:type="dxa" w:w="12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Diferencia</w:t>
            </w:r>
          </w:p>
        </w:tc>
        <w:tc>
          <w:tcPr>
            <w:tcW w:type="dxa" w:w="33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¿Qué pasa?</w:t>
            </w:r>
          </w:p>
        </w:tc>
      </w:tr>
      <w:tr>
        <w:tc>
          <w:tcPr>
            <w:tcW w:type="dxa" w:w="16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Semana 1
días 1–7</w:t>
            </w:r>
          </w:p>
        </w:tc>
        <w:tc>
          <w:tcPr>
            <w:tcW w:type="dxa" w:w="1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$800
(4 semanas)</w:t>
            </w:r>
          </w:p>
        </w:tc>
        <w:tc>
          <w:tcPr>
            <w:tcW w:type="dxa" w:w="17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$500 mes completo</w:t>
            </w:r>
          </w:p>
        </w:tc>
        <w:tc>
          <w:tcPr>
            <w:tcW w:type="dxa" w:w="12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9B411F"/>
                <w:sz w:val="19"/>
                <w:szCs w:val="19"/>
              </w:rPr>
              <w:t xml:space="preserve">Ahorras $300</w:t>
            </w:r>
          </w:p>
        </w:tc>
        <w:tc>
          <w:tcPr>
            <w:tcW w:type="dxa" w:w="33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Se cierra el mes alineado con tu fecha de pago.</w:t>
            </w:r>
          </w:p>
        </w:tc>
      </w:tr>
      <w:tr>
        <w:tc>
          <w:tcPr>
            <w:tcW w:type="dxa" w:w="16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Semana 2
días 8–14</w:t>
            </w:r>
          </w:p>
        </w:tc>
        <w:tc>
          <w:tcPr>
            <w:tcW w:type="dxa" w:w="1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$600
(3 semanas)</w:t>
            </w:r>
          </w:p>
        </w:tc>
        <w:tc>
          <w:tcPr>
            <w:tcW w:type="dxa" w:w="17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$500 mes completo</w:t>
            </w:r>
          </w:p>
        </w:tc>
        <w:tc>
          <w:tcPr>
            <w:tcW w:type="dxa" w:w="12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9B411F"/>
                <w:sz w:val="19"/>
                <w:szCs w:val="19"/>
              </w:rPr>
              <w:t xml:space="preserve">Ahorras $100</w:t>
            </w:r>
          </w:p>
        </w:tc>
        <w:tc>
          <w:tcPr>
            <w:tcW w:type="dxa" w:w="33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Requiere autorización del administrador al momento.</w:t>
            </w:r>
          </w:p>
        </w:tc>
      </w:tr>
      <w:tr>
        <w:tc>
          <w:tcPr>
            <w:tcW w:type="dxa" w:w="16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Semana 3
días 15–21</w:t>
            </w:r>
          </w:p>
        </w:tc>
        <w:tc>
          <w:tcPr>
            <w:tcW w:type="dxa" w:w="1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$400
(2 semanas)</w:t>
            </w:r>
          </w:p>
        </w:tc>
        <w:tc>
          <w:tcPr>
            <w:tcW w:type="dxa" w:w="17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$300 las 2 restantes</w:t>
            </w:r>
          </w:p>
        </w:tc>
        <w:tc>
          <w:tcPr>
            <w:tcW w:type="dxa" w:w="12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9B411F"/>
                <w:sz w:val="19"/>
                <w:szCs w:val="19"/>
              </w:rPr>
              <w:t xml:space="preserve">Ahorras $100</w:t>
            </w:r>
          </w:p>
        </w:tc>
        <w:tc>
          <w:tcPr>
            <w:tcW w:type="dxa" w:w="33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Requiere autorización del administrador al momento.</w:t>
            </w:r>
          </w:p>
        </w:tc>
      </w:tr>
      <w:tr>
        <w:tc>
          <w:tcPr>
            <w:tcW w:type="dxa" w:w="16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Semana 4
días 22–fin</w:t>
            </w:r>
          </w:p>
        </w:tc>
        <w:tc>
          <w:tcPr>
            <w:tcW w:type="dxa" w:w="1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45241"/>
                <w:sz w:val="19"/>
                <w:szCs w:val="19"/>
              </w:rPr>
              <w:t xml:space="preserve">$200
(esta semana)</w:t>
            </w:r>
          </w:p>
        </w:tc>
        <w:tc>
          <w:tcPr>
            <w:tcW w:type="dxa" w:w="17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888888"/>
                <w:sz w:val="19"/>
                <w:szCs w:val="19"/>
              </w:rPr>
              <w:t xml:space="preserve">No disponible</w:t>
            </w:r>
          </w:p>
        </w:tc>
        <w:tc>
          <w:tcPr>
            <w:tcW w:type="dxa" w:w="12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1A1A18"/>
                <w:sz w:val="19"/>
                <w:szCs w:val="19"/>
              </w:rPr>
              <w:t xml:space="preserve">—</w:t>
            </w:r>
          </w:p>
        </w:tc>
        <w:tc>
          <w:tcPr>
            <w:tcW w:type="dxa" w:w="33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mes siguiente el sistema te pregunta cómo quieres continuar.</w:t>
            </w:r>
          </w:p>
        </w:tc>
      </w:tr>
    </w:tbl>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IV.3 Actualización anual</w:t>
      </w:r>
    </w:p>
    <w:p>
      <w:pPr>
        <w:spacing w:after="80" w:before="80" w:line="280"/>
        <w:jc w:val="both"/>
      </w:pPr>
      <w:r>
        <w:rPr>
          <w:rFonts w:ascii="Arial" w:cs="Arial" w:eastAsia="Arial" w:hAnsi="Arial"/>
          <w:b w:val="false"/>
          <w:bCs w:val="false"/>
          <w:i w:val="false"/>
          <w:iCs w:val="false"/>
          <w:color w:val="1A1A18"/>
          <w:sz w:val="22"/>
          <w:szCs w:val="22"/>
        </w:rPr>
        <w:t xml:space="preserve">Cada año la renta puede actualizarse conforme a la inflación (INPC). Te avisamos con al menos 15 días de anticipación. (Art. 2448-D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IV.4 Modalidad semanal</w:t>
      </w:r>
    </w:p>
    <w:p>
      <w:pPr>
        <w:spacing w:after="80" w:before="80" w:line="280"/>
        <w:jc w:val="both"/>
      </w:pPr>
      <w:r>
        <w:rPr>
          <w:rFonts w:ascii="Arial" w:cs="Arial" w:eastAsia="Arial" w:hAnsi="Arial"/>
          <w:b w:val="false"/>
          <w:bCs w:val="false"/>
          <w:i w:val="false"/>
          <w:iCs w:val="false"/>
          <w:color w:val="1A1A18"/>
          <w:sz w:val="22"/>
          <w:szCs w:val="22"/>
        </w:rPr>
        <w:t xml:space="preserve">Disponible para estancias de mínimo 2 meses. Renta semanal de $1,260.00 M.N. para una persona, ajustable si hay personas adicionales. La garantía en esta modalidad equivale a una semana de renta.</w:t>
      </w:r>
    </w:p>
    <w:p>
      <w:pPr>
        <w:pStyle w:val="Heading1"/>
        <w:spacing w:after="120" w:before="280"/>
      </w:pPr>
      <w:r>
        <w:rPr>
          <w:rFonts w:ascii="Arial" w:cs="Arial" w:eastAsia="Arial" w:hAnsi="Arial"/>
          <w:b/>
          <w:bCs/>
          <w:i w:val="false"/>
          <w:iCs w:val="false"/>
          <w:color w:val="14352A"/>
          <w:sz w:val="26"/>
          <w:szCs w:val="26"/>
        </w:rPr>
        <w:t xml:space="preserve">CLÁUSULA V. GARANTÍA</w:t>
      </w:r>
    </w:p>
    <w:p>
      <w:pPr>
        <w:spacing w:after="80" w:before="80" w:line="280"/>
        <w:jc w:val="both"/>
      </w:pPr>
      <w:r>
        <w:rPr>
          <w:rFonts w:ascii="Arial" w:cs="Arial" w:eastAsia="Arial" w:hAnsi="Arial"/>
          <w:b w:val="false"/>
          <w:bCs w:val="false"/>
          <w:i w:val="false"/>
          <w:iCs w:val="false"/>
          <w:color w:val="1A1A18"/>
          <w:sz w:val="22"/>
          <w:szCs w:val="22"/>
        </w:rPr>
        <w:t xml:space="preserve">Al inicio de tu estancia nos entregas una cantidad equivalente a un mes de renta (o una semana si tu modalidad es semanal). Llamamos a esta cantidad «depósito» por ser la forma habitual de entregarla — mediante transferencia o depósito bancario — pero jurídicamente funciona como una prenda en garantía: una reserva que cuida a ambas partes durante tu estadía y que te devolvemos completa cuando te vayas, siempre que todo esté en orden. Puedes entregarla en dos partes dentro de los primeros 42 días. (Arts. 2856, 2858, 2859, 2866, 2448-F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V.1 ¿Cuándo se aplica la garantía?</w:t>
      </w:r>
    </w:p>
    <w:p>
      <w:pPr>
        <w:spacing w:after="80" w:before="80" w:line="280"/>
        <w:jc w:val="both"/>
      </w:pPr>
      <w:r>
        <w:rPr>
          <w:rFonts w:ascii="Arial" w:cs="Arial" w:eastAsia="Arial" w:hAnsi="Arial"/>
          <w:b w:val="false"/>
          <w:bCs w:val="false"/>
          <w:i w:val="false"/>
          <w:iCs w:val="false"/>
          <w:color w:val="1A1A18"/>
          <w:sz w:val="22"/>
          <w:szCs w:val="22"/>
        </w:rPr>
        <w:t xml:space="preserve">La garantía puede usarse para cubrir:</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Rentas o cargos que quedaron pendientes de pago.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Daños a la habitación o sus instalaciones causados por mal uso o descuido.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Daños a bienes que estén en la habitación bajo tu cuidado. Cuando esto ocurre, la Arrendadora cubre el costo ante quien corresponda y tiene derecho a recuperarlo de tu garantía, ya que el daño fue consecuencia directa de tu uso o el de quienes viven contigo. (Arts. 1910, 2104, 2110, 2429, 1991, 2866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V.2 Al momento de dar aviso de salida</w:t>
      </w:r>
    </w:p>
    <w:p>
      <w:pPr>
        <w:spacing w:after="80" w:before="80" w:line="280"/>
        <w:jc w:val="both"/>
      </w:pPr>
      <w:r>
        <w:rPr>
          <w:rFonts w:ascii="Arial" w:cs="Arial" w:eastAsia="Arial" w:hAnsi="Arial"/>
          <w:b w:val="false"/>
          <w:bCs w:val="false"/>
          <w:i w:val="false"/>
          <w:iCs w:val="false"/>
          <w:color w:val="1A1A18"/>
          <w:sz w:val="22"/>
          <w:szCs w:val="22"/>
        </w:rPr>
        <w:t xml:space="preserve">Desde el día en que cualquiera de las partes avisa que el contrato terminará, la garantía queda reservada para cubrir la última renta pendiente y cualquier cargo que pudiera surgir durante ese último periodo. Si el saldo de la garantía no es suficiente para cubrir la última renta, esta deberá pagarse de forma normal antes de la fecha de desocupación. No es posible quedarse el último mes a cuenta de la garantía sin acuerdo previo y por escrito de la Arrendadora. (Arts. 2425, 2427, 2866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Si al final hay un saldo a tu favor, te lo devolvemos dentro de las 48 horas siguientes a la entrega de llaves.</w:t>
      </w:r>
    </w:p>
    <w:p>
      <w:pPr>
        <w:pStyle w:val="Heading1"/>
        <w:spacing w:after="120" w:before="280"/>
      </w:pPr>
      <w:r>
        <w:rPr>
          <w:rFonts w:ascii="Arial" w:cs="Arial" w:eastAsia="Arial" w:hAnsi="Arial"/>
          <w:b/>
          <w:bCs/>
          <w:i w:val="false"/>
          <w:iCs w:val="false"/>
          <w:color w:val="14352A"/>
          <w:sz w:val="26"/>
          <w:szCs w:val="26"/>
        </w:rPr>
        <w:t xml:space="preserve">CLÁUSULA VI. EL APARTADO</w:t>
      </w:r>
    </w:p>
    <w:p>
      <w:pPr>
        <w:spacing w:after="80" w:before="80" w:line="280"/>
        <w:jc w:val="both"/>
      </w:pPr>
      <w:r>
        <w:rPr>
          <w:rFonts w:ascii="Arial" w:cs="Arial" w:eastAsia="Arial" w:hAnsi="Arial"/>
          <w:b w:val="false"/>
          <w:bCs w:val="false"/>
          <w:i w:val="false"/>
          <w:iCs w:val="false"/>
          <w:color w:val="1A1A18"/>
          <w:sz w:val="22"/>
          <w:szCs w:val="22"/>
        </w:rPr>
        <w:t xml:space="preserve">Si decides apartar la habitación antes de mudarte, nos dejas un mínimo de $1,000.00 M.N. Desde ese momento retiramos la habitación del mercado y la reservamos para ti. (Arts. 2012, 2014, 1796, 1797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val="false"/>
          <w:iCs w:val="false"/>
          <w:color w:val="1A1A18"/>
          <w:sz w:val="22"/>
          <w:szCs w:val="22"/>
        </w:rPr>
        <w:t xml:space="preserve">El apartado no se reembolsa, sin importar el motivo ni el momento de la cancelación. Si decides no mudarte, ese monto queda a favor de la Arrendadora como compensación por el tiempo que la habitación estuvo fuera del mercado. Si sí te mudas, el apartado se aplica a tu primer pago. (Arts. 2386, 2104, 2110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iCs/>
          <w:color w:val="1A1A18"/>
          <w:sz w:val="22"/>
          <w:szCs w:val="22"/>
        </w:rPr>
        <w:t xml:space="preserve">Si por razones imputables a la Arrendadora no fuera posible entregarte la habitación en las condiciones acordadas, se te devuelve el apartado completo.</w:t>
      </w:r>
    </w:p>
    <w:p>
      <w:pPr>
        <w:pStyle w:val="Heading1"/>
        <w:spacing w:after="120" w:before="280"/>
      </w:pPr>
      <w:r>
        <w:rPr>
          <w:rFonts w:ascii="Arial" w:cs="Arial" w:eastAsia="Arial" w:hAnsi="Arial"/>
          <w:b/>
          <w:bCs/>
          <w:i w:val="false"/>
          <w:iCs w:val="false"/>
          <w:color w:val="14352A"/>
          <w:sz w:val="26"/>
          <w:szCs w:val="26"/>
        </w:rPr>
        <w:t xml:space="preserve">CLÁUSULA VII. COMPROMISOS DE LA ARRENDADORA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Entregarte la habitación en las condiciones que ambas partes establecieron y aceptaron al momento de la entrega. (Art. 2412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Hacer las reparaciones que correspondan por desgaste natural o condiciones del inmueble. (Art. 2412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Respetar tu espacio y privacidad durante tu estancia. (Art. 16 CPEUM)</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Atender tus reportes de mantenimiento a través de la aplicación.</w:t>
      </w:r>
    </w:p>
    <w:p>
      <w:pPr>
        <w:pStyle w:val="Heading1"/>
        <w:spacing w:after="120" w:before="280"/>
      </w:pPr>
      <w:r>
        <w:rPr>
          <w:rFonts w:ascii="Arial" w:cs="Arial" w:eastAsia="Arial" w:hAnsi="Arial"/>
          <w:b/>
          <w:bCs/>
          <w:i w:val="false"/>
          <w:iCs w:val="false"/>
          <w:color w:val="14352A"/>
          <w:sz w:val="26"/>
          <w:szCs w:val="26"/>
        </w:rPr>
        <w:t xml:space="preserve">CLÁUSULA VIII. TUS COMPROMISOS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Pagar tu renta puntualmente. (Art. 2425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Cuidar la habitación, las instalaciones y las áreas comunes. (Arts. 2425, 2429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Respetar el Reglamento Interno que firmas junto con este contrato.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Avisarnos con 15 días de anticipación si decides desocupar.</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Entregar las llaves el día que te vayas. Reposición de llaves: $90.00 M.N.</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realizar actividades ilegales o prohibidas por la ley dentro del inmueble. (Art. 2489 fracc. I CCDF; Código Penal Federal)</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consumir ni almacenar sustancias ilegales en la habitación ni en ninguna área del inmueble.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realizar ventas, transacciones comerciales o actividades lucrativas de ningún tipo dentro de la propiedad sin autorización escrita de la Arrendadora.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portar ni almacenar armas de fuego, blancas u objetos peligrosos dentro del inmueble, salvo los permitidos expresamente por la ley. (Art. 2489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almacenar sustancias inflamables, tóxicas o peligrosas que representen un riesgo para los demás habitantes o para el inmueble.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realizar conductas que pongan en riesgo la integridad física o emocional de los demás habitantes del inmueble.</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val="false"/>
          <w:iCs w:val="false"/>
          <w:color w:val="1A1A18"/>
          <w:sz w:val="22"/>
          <w:szCs w:val="22"/>
        </w:rPr>
        <w:t xml:space="preserve">Durante tus primeros 45 días puedes solicitar pequeñas adecuaciones a la habitación (repisas, iluminación, soportes, espejos) sin costo de mano de obra. Después, los costos corren por tu cuenta. Las modificaciones estructurales no están permitidas.</w:t>
      </w:r>
    </w:p>
    <w:p>
      <w:pPr>
        <w:pStyle w:val="Heading1"/>
        <w:spacing w:after="120" w:before="280"/>
      </w:pPr>
      <w:r>
        <w:rPr>
          <w:rFonts w:ascii="Arial" w:cs="Arial" w:eastAsia="Arial" w:hAnsi="Arial"/>
          <w:b/>
          <w:bCs/>
          <w:i w:val="false"/>
          <w:iCs w:val="false"/>
          <w:color w:val="14352A"/>
          <w:sz w:val="26"/>
          <w:szCs w:val="26"/>
        </w:rPr>
        <w:t xml:space="preserve">CLÁUSULA IX. ANTECEDENTES PENALES</w:t>
      </w:r>
    </w:p>
    <w:p>
      <w:pPr>
        <w:spacing w:after="80" w:before="80" w:line="280"/>
        <w:jc w:val="both"/>
      </w:pPr>
      <w:r>
        <w:rPr>
          <w:rFonts w:ascii="Arial" w:cs="Arial" w:eastAsia="Arial" w:hAnsi="Arial"/>
          <w:b w:val="false"/>
          <w:bCs w:val="false"/>
          <w:i w:val="false"/>
          <w:iCs w:val="false"/>
          <w:color w:val="1A1A18"/>
          <w:sz w:val="22"/>
          <w:szCs w:val="22"/>
        </w:rPr>
        <w:t xml:space="preserve">Si durante la vigencia de este contrato se descubre que el Arrendatario tiene antecedentes penales que no fueron informados al momento de firmar, o que ha cometido actos delictivos dentro o fuera del inmueble que comprometan la seguridad de los demás habitantes o del inmueble mismo, el contrato se da por terminado de forma inmediata. (Arts. 2489 CCDF; Art. 19 CPEUM; Código Penal Federal)</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val="false"/>
          <w:iCs w:val="false"/>
          <w:color w:val="1A1A18"/>
          <w:sz w:val="22"/>
          <w:szCs w:val="22"/>
        </w:rPr>
        <w:t xml:space="preserve">En este caso, el Arrendatario tendrá un plazo máximo de 15 días naturales para desocupar la habitación a partir de la notificación, sin derecho a reembolso de la garantía ni de ningún pago realizado por periodos no concluidos. (Arts. 2448-J, 2486, 2398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IX.1 Actividades ilegales flagrantes</w:t>
      </w:r>
    </w:p>
    <w:p>
      <w:pPr>
        <w:spacing w:after="80" w:before="80" w:line="280"/>
        <w:jc w:val="both"/>
      </w:pPr>
      <w:r>
        <w:rPr>
          <w:rFonts w:ascii="Arial" w:cs="Arial" w:eastAsia="Arial" w:hAnsi="Arial"/>
          <w:b w:val="false"/>
          <w:bCs w:val="false"/>
          <w:i w:val="false"/>
          <w:iCs w:val="false"/>
          <w:color w:val="1A1A18"/>
          <w:sz w:val="22"/>
          <w:szCs w:val="22"/>
        </w:rPr>
        <w:t xml:space="preserve">Si se descubren actividades ilegales dentro del inmueble de forma flagrante (consumo, venta o almacenamiento de sustancias ilegales, portación de armas no autorizadas u otras conductas delictivas), el contrato se rescinde de inmediato y se realizará la denuncia correspondiente ante las autoridades. El Arrendatario deberá desocupar en un plazo máximo de 3 días naturales. Sin reembolso de ningún tipo. (Arts. 2489 fracc. I, II y III CCDF; Art. 19 CPEUM)</w:t>
      </w:r>
    </w:p>
    <w:p>
      <w:pPr>
        <w:pStyle w:val="Heading1"/>
        <w:spacing w:after="120" w:before="280"/>
      </w:pPr>
      <w:r>
        <w:rPr>
          <w:rFonts w:ascii="Arial" w:cs="Arial" w:eastAsia="Arial" w:hAnsi="Arial"/>
          <w:b/>
          <w:bCs/>
          <w:i w:val="false"/>
          <w:iCs w:val="false"/>
          <w:color w:val="14352A"/>
          <w:sz w:val="26"/>
          <w:szCs w:val="26"/>
        </w:rPr>
        <w:t xml:space="preserve">CLÁUSULA X. REPARACIONES</w:t>
      </w:r>
    </w:p>
    <w:p>
      <w:pPr>
        <w:spacing w:after="80" w:before="80" w:line="280"/>
        <w:jc w:val="both"/>
      </w:pPr>
      <w:r>
        <w:rPr>
          <w:rFonts w:ascii="Arial" w:cs="Arial" w:eastAsia="Arial" w:hAnsi="Arial"/>
          <w:b w:val="false"/>
          <w:bCs w:val="false"/>
          <w:i w:val="false"/>
          <w:iCs w:val="false"/>
          <w:color w:val="1A1A18"/>
          <w:sz w:val="22"/>
          <w:szCs w:val="22"/>
        </w:rPr>
        <w:t xml:space="preserve">Si algo se daña por desgaste natural, lo arreglamos nosotros. Si el daño fue por mal uso o descuido tuyo o de alguien que viva contigo o te visite, el costo corre por tu cuenta y puede descontarse de tu garantía. (Arts. 2412, 2429, 2432 CCDF)</w:t>
      </w:r>
    </w:p>
    <w:p>
      <w:pPr>
        <w:pStyle w:val="Heading1"/>
        <w:spacing w:after="120" w:before="280"/>
      </w:pPr>
      <w:r>
        <w:rPr>
          <w:rFonts w:ascii="Arial" w:cs="Arial" w:eastAsia="Arial" w:hAnsi="Arial"/>
          <w:b/>
          <w:bCs/>
          <w:i w:val="false"/>
          <w:iCs w:val="false"/>
          <w:color w:val="14352A"/>
          <w:sz w:val="26"/>
          <w:szCs w:val="26"/>
        </w:rPr>
        <w:t xml:space="preserve">CLÁUSULA XI. PERSONAS EN TU HABITACIÓN</w:t>
      </w:r>
    </w:p>
    <w:p>
      <w:pPr>
        <w:spacing w:after="80" w:before="80" w:line="280"/>
        <w:jc w:val="both"/>
      </w:pPr>
      <w:r>
        <w:rPr>
          <w:rFonts w:ascii="Arial" w:cs="Arial" w:eastAsia="Arial" w:hAnsi="Arial"/>
          <w:b w:val="false"/>
          <w:bCs w:val="false"/>
          <w:i w:val="false"/>
          <w:iCs w:val="false"/>
          <w:color w:val="1A1A18"/>
          <w:sz w:val="22"/>
          <w:szCs w:val="22"/>
        </w:rPr>
        <w:t xml:space="preserve">Tu contrato es para las personas declaradas. Queremos que te sientas en casa — solo te pedimos que lo hagamos con orden. (Arts. 2480, 2481, 2489 CCDF)</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XI.1 Visitas</w:t>
      </w:r>
    </w:p>
    <w:p>
      <w:pPr>
        <w:spacing w:after="80" w:before="80" w:line="280"/>
        <w:jc w:val="both"/>
      </w:pPr>
      <w:r>
        <w:rPr>
          <w:rFonts w:ascii="Arial" w:cs="Arial" w:eastAsia="Arial" w:hAnsi="Arial"/>
          <w:b w:val="false"/>
          <w:bCs w:val="false"/>
          <w:i w:val="false"/>
          <w:iCs w:val="false"/>
          <w:color w:val="1A1A18"/>
          <w:sz w:val="22"/>
          <w:szCs w:val="22"/>
        </w:rPr>
        <w:t xml:space="preserve">Las visitas son bienvenidas. Solo te pedimos hacer check-in y check-out en la app:</w:t>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Tiempo</w:t>
            </w:r>
          </w:p>
        </w:tc>
        <w:tc>
          <w:tcPr>
            <w:tcW w:type="dxa" w:w="79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¿Qué ocurre?</w:t>
            </w:r>
          </w:p>
        </w:tc>
      </w:tr>
      <w:tr>
        <w:tc>
          <w:tcPr>
            <w:tcW w:type="dxa" w:w="14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40 horas</w:t>
            </w:r>
          </w:p>
        </w:tc>
        <w:tc>
          <w:tcPr>
            <w:tcW w:type="dxa" w:w="79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La app te manda un recordatorio amistoso para hacer el check-out de tu visita.</w:t>
            </w:r>
          </w:p>
        </w:tc>
      </w:tr>
      <w:tr>
        <w:tc>
          <w:tcPr>
            <w:tcW w:type="dxa" w:w="14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305C4D"/>
                <w:sz w:val="19"/>
                <w:szCs w:val="19"/>
              </w:rPr>
              <w:t xml:space="preserve">50 horas</w:t>
            </w:r>
          </w:p>
        </w:tc>
        <w:tc>
          <w:tcPr>
            <w:tcW w:type="dxa" w:w="79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Segundo recordatorio.</w:t>
            </w:r>
          </w:p>
        </w:tc>
      </w:tr>
      <w:tr>
        <w:tc>
          <w:tcPr>
            <w:tcW w:type="dxa" w:w="14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9B411F"/>
                <w:sz w:val="19"/>
                <w:szCs w:val="19"/>
              </w:rPr>
              <w:t xml:space="preserve">72 horas</w:t>
            </w:r>
          </w:p>
        </w:tc>
        <w:tc>
          <w:tcPr>
            <w:tcW w:type="dxa" w:w="79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Se genera un cargo de $200 M.N. Puedes convertir a tu visita en acompañante registrado desde la app.</w:t>
            </w:r>
          </w:p>
        </w:tc>
      </w:tr>
      <w:tr>
        <w:tc>
          <w:tcPr>
            <w:tcW w:type="dxa" w:w="14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i w:val="false"/>
                <w:iCs w:val="false"/>
                <w:color w:val="9B411F"/>
                <w:sz w:val="19"/>
                <w:szCs w:val="19"/>
              </w:rPr>
              <w:t xml:space="preserve">102 horas</w:t>
            </w:r>
          </w:p>
        </w:tc>
        <w:tc>
          <w:tcPr>
            <w:tcW w:type="dxa" w:w="79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Si no se ha resuelto: el cargo se aplica de la garantía. La app te presenta dos opciones para aclarar la situación.</w:t>
            </w:r>
          </w:p>
        </w:tc>
      </w:tr>
    </w:tbl>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XI.2 Camino A — Si aceptas o no respondes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El cargo se aplica de tu garantía.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Tienes 15 días para reponerla desde que se registró el perfil temporal.</w:t>
      </w:r>
    </w:p>
    <w:p>
      <w:r>
        <w:rPr>
          <w:rFonts w:ascii="Arial" w:cs="Arial" w:eastAsia="Arial" w:hAnsi="Arial"/>
          <w:b w:val="false"/>
          <w:bCs w:val="false"/>
          <w:i w:val="false"/>
          <w:iCs w:val="false"/>
          <w:color w:val="1A1A18"/>
          <w:sz w:val="22"/>
          <w:szCs w:val="22"/>
        </w:rPr>
        <w:t xml:space="preserve"/>
      </w:r>
    </w:p>
    <w:p>
      <w:pPr>
        <w:pStyle w:val="Heading3"/>
        <w:spacing w:after="80" w:before="160"/>
      </w:pPr>
      <w:r>
        <w:rPr>
          <w:rFonts w:ascii="Arial" w:cs="Arial" w:eastAsia="Arial" w:hAnsi="Arial"/>
          <w:b/>
          <w:bCs/>
          <w:i w:val="false"/>
          <w:iCs w:val="false"/>
          <w:color w:val="345241"/>
          <w:sz w:val="22"/>
          <w:szCs w:val="22"/>
        </w:rPr>
        <w:t xml:space="preserve">XI.3 Camino B — Si dices que no reconoces el cargo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Se considera subarriendo no autorizado. El contrato termina de inmediato. (Arts. 2480, 2489 CCDF)</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15 días para desocupar.</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La garantía queda aplicada. (Arts. 2427, 2398, 2486, 2448-J CCDF)</w:t>
      </w:r>
    </w:p>
    <w:p>
      <w:pPr>
        <w:pStyle w:val="Heading1"/>
        <w:spacing w:after="120" w:before="280"/>
      </w:pPr>
      <w:r>
        <w:rPr>
          <w:rFonts w:ascii="Arial" w:cs="Arial" w:eastAsia="Arial" w:hAnsi="Arial"/>
          <w:b/>
          <w:bCs/>
          <w:i w:val="false"/>
          <w:iCs w:val="false"/>
          <w:color w:val="14352A"/>
          <w:sz w:val="26"/>
          <w:szCs w:val="26"/>
        </w:rPr>
        <w:t xml:space="preserve">CLÁUSULA XII. LA LIMPIEZA ES DE TODOS</w:t>
      </w:r>
    </w:p>
    <w:p>
      <w:pPr>
        <w:spacing w:after="80" w:before="80" w:line="280"/>
        <w:jc w:val="both"/>
      </w:pPr>
      <w:r>
        <w:rPr>
          <w:rFonts w:ascii="Arial" w:cs="Arial" w:eastAsia="Arial" w:hAnsi="Arial"/>
          <w:b w:val="false"/>
          <w:bCs w:val="false"/>
          <w:i w:val="false"/>
          <w:iCs w:val="false"/>
          <w:color w:val="1A1A18"/>
          <w:sz w:val="22"/>
          <w:szCs w:val="22"/>
        </w:rPr>
        <w:t xml:space="preserve">Tu habitación es tu responsabilidad. Las áreas comunes las cuidamos entre todos según el calendario de la app. Tres incumplimientos de turno en un mes son causa de rescisión. (Art. 2489 CCDF)</w:t>
      </w:r>
    </w:p>
    <w:p>
      <w:pPr>
        <w:pStyle w:val="Heading1"/>
        <w:spacing w:after="120" w:before="280"/>
      </w:pPr>
      <w:r>
        <w:rPr>
          <w:rFonts w:ascii="Arial" w:cs="Arial" w:eastAsia="Arial" w:hAnsi="Arial"/>
          <w:b/>
          <w:bCs/>
          <w:i w:val="false"/>
          <w:iCs w:val="false"/>
          <w:color w:val="14352A"/>
          <w:sz w:val="26"/>
          <w:szCs w:val="26"/>
        </w:rPr>
        <w:t xml:space="preserve">CLÁUSULA XIII. CUANDO TE VAYAS</w:t>
      </w:r>
    </w:p>
    <w:p>
      <w:pPr>
        <w:spacing w:after="80" w:before="80" w:line="280"/>
        <w:jc w:val="both"/>
      </w:pPr>
      <w:r>
        <w:rPr>
          <w:rFonts w:ascii="Arial" w:cs="Arial" w:eastAsia="Arial" w:hAnsi="Arial"/>
          <w:b w:val="false"/>
          <w:bCs w:val="false"/>
          <w:i w:val="false"/>
          <w:iCs w:val="false"/>
          <w:color w:val="1A1A18"/>
          <w:sz w:val="22"/>
          <w:szCs w:val="22"/>
        </w:rPr>
        <w:t xml:space="preserve">Al finalizar, te pedimos dejar la habitación limpia en las condiciones aceptadas al inicio y entregarnos las llaves. Hacemos una revisión juntos. (Arts. 2445, 2483, 2110 CCDF)</w:t>
      </w:r>
    </w:p>
    <w:p>
      <w:r>
        <w:rPr>
          <w:rFonts w:ascii="Arial" w:cs="Arial" w:eastAsia="Arial" w:hAnsi="Arial"/>
          <w:b w:val="false"/>
          <w:bCs w:val="false"/>
          <w:i w:val="false"/>
          <w:iCs w:val="false"/>
          <w:color w:val="1A1A18"/>
          <w:sz w:val="22"/>
          <w:szCs w:val="22"/>
        </w:rPr>
        <w:t xml:space="preserve"/>
      </w:r>
    </w:p>
    <w:p>
      <w:pPr>
        <w:spacing w:after="80" w:before="80" w:line="280"/>
        <w:jc w:val="both"/>
      </w:pPr>
      <w:r>
        <w:rPr>
          <w:rFonts w:ascii="Arial" w:cs="Arial" w:eastAsia="Arial" w:hAnsi="Arial"/>
          <w:b w:val="false"/>
          <w:bCs w:val="false"/>
          <w:i w:val="false"/>
          <w:iCs w:val="false"/>
          <w:color w:val="1A1A18"/>
          <w:sz w:val="22"/>
          <w:szCs w:val="22"/>
        </w:rPr>
        <w:t xml:space="preserve">Si llegamos al doceavo día del mes sin pago ni respuesta, necesitamos revisar la habitación. Para fin de mes, la habitación debe estar libre.</w:t>
      </w:r>
    </w:p>
    <w:p>
      <w:pPr>
        <w:pStyle w:val="Heading1"/>
        <w:spacing w:after="120" w:before="280"/>
      </w:pPr>
      <w:r>
        <w:rPr>
          <w:rFonts w:ascii="Arial" w:cs="Arial" w:eastAsia="Arial" w:hAnsi="Arial"/>
          <w:b/>
          <w:bCs/>
          <w:i w:val="false"/>
          <w:iCs w:val="false"/>
          <w:color w:val="14352A"/>
          <w:sz w:val="26"/>
          <w:szCs w:val="26"/>
        </w:rPr>
        <w:t xml:space="preserve">CLÁUSULA XIV. SI HUBIERA QUE DESOCUPAR ANTES</w:t>
      </w:r>
    </w:p>
    <w:p>
      <w:pPr>
        <w:spacing w:after="80" w:before="80" w:line="280"/>
        <w:jc w:val="both"/>
      </w:pPr>
      <w:r>
        <w:rPr>
          <w:rFonts w:ascii="Arial" w:cs="Arial" w:eastAsia="Arial" w:hAnsi="Arial"/>
          <w:b w:val="false"/>
          <w:bCs w:val="false"/>
          <w:i w:val="false"/>
          <w:iCs w:val="false"/>
          <w:color w:val="1A1A18"/>
          <w:sz w:val="22"/>
          <w:szCs w:val="22"/>
        </w:rPr>
        <w:t xml:space="preserve">Si por incumplimiento fuera necesario desocupar, acordamos desde ahora que lo harás voluntariamente en el plazo indicado, sin necesidad de proceso legal. Siempre actuaremos conforme a la ley. (Arts. 2489, 2431, 1949 CCDF; Art. 14 CPEUM)</w:t>
      </w:r>
    </w:p>
    <w:p>
      <w:pPr>
        <w:pStyle w:val="Heading1"/>
        <w:spacing w:after="120" w:before="280"/>
      </w:pPr>
      <w:r>
        <w:rPr>
          <w:rFonts w:ascii="Arial" w:cs="Arial" w:eastAsia="Arial" w:hAnsi="Arial"/>
          <w:b/>
          <w:bCs/>
          <w:i w:val="false"/>
          <w:iCs w:val="false"/>
          <w:color w:val="14352A"/>
          <w:sz w:val="26"/>
          <w:szCs w:val="26"/>
        </w:rPr>
        <w:t xml:space="preserve">CLÁUSULA XV. CAUSAS QUE TERMINAN EL CONTRATO</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No pagar la renta al cuarto día después de la fecha acordada.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Subarrendar o prestar la habitación a personas no declaradas.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Usar la habitación para algo distinto a vivienda.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Hacer modificaciones no autorizadas al inmueble.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Superar el límite de ocupantes indicado en la portada.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Dañar las instalaciones de forma intencional o por descuido grave.</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Actividades ilegales, portación de armas o conductas que pongan en riesgo al inmueble o a sus habitantes.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Antecedentes penales no informados o delitos cometidos durante la vigencia.</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Conductas que afecten la convivencia pacífica, documentadas.</w:t>
      </w:r>
    </w:p>
    <w:p>
      <w:pPr>
        <w:pStyle w:val="ListParagraph"/>
        <w:numPr>
          <w:ilvl w:val="0"/>
          <w:numId w:val="2"/>
        </w:numPr>
        <w:spacing w:after="60" w:before="60"/>
      </w:pPr>
      <w:r>
        <w:rPr>
          <w:rFonts w:ascii="Arial" w:cs="Arial" w:eastAsia="Arial" w:hAnsi="Arial"/>
          <w:b w:val="false"/>
          <w:bCs w:val="false"/>
          <w:i w:val="false"/>
          <w:iCs w:val="false"/>
          <w:color w:val="1A1A18"/>
          <w:sz w:val="22"/>
          <w:szCs w:val="22"/>
        </w:rPr>
        <w:t xml:space="preserve">Tres incumplimientos de limpieza en el mismo mes.</w:t>
      </w:r>
    </w:p>
    <w:p>
      <w:pPr>
        <w:pStyle w:val="Heading1"/>
        <w:spacing w:after="120" w:before="280"/>
      </w:pPr>
      <w:r>
        <w:rPr>
          <w:rFonts w:ascii="Arial" w:cs="Arial" w:eastAsia="Arial" w:hAnsi="Arial"/>
          <w:b/>
          <w:bCs/>
          <w:i w:val="false"/>
          <w:iCs w:val="false"/>
          <w:color w:val="14352A"/>
          <w:sz w:val="26"/>
          <w:szCs w:val="26"/>
        </w:rPr>
        <w:t xml:space="preserve">CLÁUSULA XVI. DESCUENTOS Y CUPONES</w:t>
      </w:r>
    </w:p>
    <w:p>
      <w:pPr>
        <w:spacing w:after="80" w:before="80" w:line="280"/>
        <w:jc w:val="both"/>
      </w:pPr>
      <w:r>
        <w:rPr>
          <w:rFonts w:ascii="Arial" w:cs="Arial" w:eastAsia="Arial" w:hAnsi="Arial"/>
          <w:b w:val="false"/>
          <w:bCs w:val="false"/>
          <w:i w:val="false"/>
          <w:iCs w:val="false"/>
          <w:color w:val="1A1A18"/>
          <w:sz w:val="22"/>
          <w:szCs w:val="22"/>
        </w:rPr>
        <w:t xml:space="preserve">De vez en cuando podemos ofrecerte descuentos o cupones. Son un detalle de nuestra parte — no generan derecho a recibirlos de forma permanente ni a exigir condiciones similares en el futuro. Cada cupón tiene sus propias condiciones en la app. (Arts. 1796, 1832, 2398 CCDF)</w:t>
      </w:r>
    </w:p>
    <w:p>
      <w:pPr>
        <w:pStyle w:val="Heading1"/>
        <w:spacing w:after="120" w:before="280"/>
      </w:pPr>
      <w:r>
        <w:rPr>
          <w:rFonts w:ascii="Arial" w:cs="Arial" w:eastAsia="Arial" w:hAnsi="Arial"/>
          <w:b/>
          <w:bCs/>
          <w:i w:val="false"/>
          <w:iCs w:val="false"/>
          <w:color w:val="14352A"/>
          <w:sz w:val="26"/>
          <w:szCs w:val="26"/>
        </w:rPr>
        <w:t xml:space="preserve">CLÁUSULA XVII. TUS DATOS PERSONALES</w:t>
      </w:r>
    </w:p>
    <w:p>
      <w:pPr>
        <w:spacing w:after="80" w:before="80" w:line="280"/>
        <w:jc w:val="both"/>
      </w:pPr>
      <w:r>
        <w:rPr>
          <w:rFonts w:ascii="Arial" w:cs="Arial" w:eastAsia="Arial" w:hAnsi="Arial"/>
          <w:b w:val="false"/>
          <w:bCs w:val="false"/>
          <w:i w:val="false"/>
          <w:iCs w:val="false"/>
          <w:color w:val="1A1A18"/>
          <w:sz w:val="22"/>
          <w:szCs w:val="22"/>
        </w:rPr>
        <w:t xml:space="preserve">La información que nos compartes la usamos solo para gestionar tu estancia. El inmueble cuenta con videovigilancia en áreas comunes. Todo está en el Aviso de Privacidad que firmas hoy. (LFPDPPP)</w:t>
      </w:r>
    </w:p>
    <w:p>
      <w:pPr>
        <w:pStyle w:val="Heading1"/>
        <w:spacing w:after="120" w:before="280"/>
      </w:pPr>
      <w:r>
        <w:rPr>
          <w:rFonts w:ascii="Arial" w:cs="Arial" w:eastAsia="Arial" w:hAnsi="Arial"/>
          <w:b/>
          <w:bCs/>
          <w:i w:val="false"/>
          <w:iCs w:val="false"/>
          <w:color w:val="14352A"/>
          <w:sz w:val="26"/>
          <w:szCs w:val="26"/>
        </w:rPr>
        <w:t xml:space="preserve">CLÁUSULA XVIII. EN CASO DE DESACUERDO</w:t>
      </w:r>
    </w:p>
    <w:p>
      <w:pPr>
        <w:spacing w:after="80" w:before="80" w:line="280"/>
        <w:jc w:val="both"/>
      </w:pPr>
      <w:r>
        <w:rPr>
          <w:rFonts w:ascii="Arial" w:cs="Arial" w:eastAsia="Arial" w:hAnsi="Arial"/>
          <w:b w:val="false"/>
          <w:bCs w:val="false"/>
          <w:i w:val="false"/>
          <w:iCs w:val="false"/>
          <w:color w:val="1A1A18"/>
          <w:sz w:val="22"/>
          <w:szCs w:val="22"/>
        </w:rPr>
        <w:t xml:space="preserve">Cualquier situación que no podamos resolver de mutuo acuerdo se resolverá conforme a las leyes de la Ciudad de México. (Arts. 1796 CCDF; Art. 104 CPEUM)</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iCs/>
          <w:color w:val="1A1A18"/>
          <w:sz w:val="22"/>
          <w:szCs w:val="22"/>
        </w:rPr>
        <w:t xml:space="preserve">Hemos leído este contrato, lo entendemos y estamos de acuerdo. Lo firmamos con gusto en la Ciudad de México, el día ___ de _____________ de ______.</w:t>
      </w:r>
    </w:p>
    <w:p>
      <w:r>
        <w:rPr>
          <w:rFonts w:ascii="Arial" w:cs="Arial" w:eastAsia="Arial" w:hAnsi="Arial"/>
          <w:b w:val="false"/>
          <w:bCs w:val="false"/>
          <w:i w:val="false"/>
          <w:iCs w:val="false"/>
          <w:color w:val="1A1A18"/>
          <w:sz w:val="22"/>
          <w:szCs w:val="22"/>
        </w:rPr>
        <w:t xml:space="preserve"/>
      </w:r>
    </w:p>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LA ARRENDADORA</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EL ARRENDATARIO / LA ARRENDATARIA</w:t>
            </w:r>
          </w:p>
        </w:tc>
      </w:tr>
    </w:tbl>
    <w:p>
      <w:r>
        <w:rPr>
          <w:rFonts w:ascii="Arial" w:cs="Arial" w:eastAsia="Arial" w:hAnsi="Arial"/>
          <w:b w:val="false"/>
          <w:bCs w:val="false"/>
          <w:i w:val="false"/>
          <w:iCs w:val="false"/>
          <w:color w:val="1A1A18"/>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500"/>
        <w:gridCol w:w="360"/>
        <w:gridCol w:w="4500"/>
      </w:tblGrid>
      <w:tr>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Mar>
              <w:top w:type="dxa" w:w="100"/>
              <w:left w:type="dxa" w:w="0"/>
              <w:bottom w:type="dxa" w:w="100"/>
              <w:right w:type="dxa" w:w="0"/>
            </w:tcMar>
          </w:tcPr>
          <w:p>
            <w:pPr>
              <w:pBdr>
                <w:bottom w:val="single" w:color="CDB29D" w:sz="4" w:space="1"/>
              </w:pBdr>
            </w:pPr>
            <w:r>
              <w:rPr>
                <w:rFonts w:ascii="Arial" w:cs="Arial" w:eastAsia="Arial" w:hAnsi="Arial"/>
                <w:b w:val="false"/>
                <w:bCs w:val="false"/>
                <w:i w:val="false"/>
                <w:iCs w:val="false"/>
                <w:color w:val="1A1A18"/>
                <w:sz w:val="22"/>
                <w:szCs w:val="22"/>
              </w:rPr>
              <w:t xml:space="preserve"/>
            </w:r>
          </w:p>
        </w:tc>
      </w:tr>
      <w:tr>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BELEM CISNEROS DÍAZ</w:t>
            </w:r>
          </w:p>
        </w:tc>
        <w:tc>
          <w:tcPr>
            <w:tcBorders>
              <w:top w:val="none" w:sz="0"/>
              <w:left w:val="none" w:sz="0"/>
              <w:bottom w:val="none" w:sz="0"/>
              <w:right w:val="none" w:sz="0"/>
            </w:tcBorders>
          </w:tcPr>
          <w:p>
            <w:r>
              <w:rPr>
                <w:rFonts w:ascii="Arial" w:cs="Arial" w:eastAsia="Arial" w:hAnsi="Arial"/>
                <w:b w:val="false"/>
                <w:bCs w:val="false"/>
                <w:i w:val="false"/>
                <w:iCs w:val="false"/>
                <w:color w:val="1A1A18"/>
                <w:sz w:val="22"/>
                <w:szCs w:val="22"/>
              </w:rPr>
              <w:t xml:space="preserve"/>
            </w:r>
          </w:p>
        </w:tc>
        <w:tc>
          <w:tcPr>
            <w:tcBorders>
              <w:top w:val="none" w:sz="0"/>
              <w:left w:val="none" w:sz="0"/>
              <w:bottom w:val="none" w:sz="0"/>
              <w:right w:val="none" w:sz="0"/>
            </w:tcBorders>
          </w:tcPr>
          <w:p>
            <w:pPr>
              <w:spacing w:after="80" w:before="80" w:line="280"/>
              <w:jc w:val="center"/>
            </w:pPr>
            <w:r>
              <w:rPr>
                <w:rFonts w:ascii="Arial" w:cs="Arial" w:eastAsia="Arial" w:hAnsi="Arial"/>
                <w:b w:val="false"/>
                <w:bCs w:val="false"/>
                <w:i w:val="false"/>
                <w:iCs w:val="false"/>
                <w:color w:val="305C4D"/>
                <w:sz w:val="20"/>
                <w:szCs w:val="20"/>
              </w:rPr>
              <w:t xml:space="preserve">Nombre y firma</w:t>
            </w:r>
          </w:p>
        </w:tc>
      </w:tr>
    </w:tbl>
    <w:p>
      <w:r>
        <w:rPr>
          <w:rFonts w:ascii="Arial" w:cs="Arial" w:eastAsia="Arial" w:hAnsi="Arial"/>
          <w:b w:val="false"/>
          <w:bCs w:val="false"/>
          <w:i w:val="false"/>
          <w:iCs w:val="false"/>
          <w:color w:val="1A1A18"/>
          <w:sz w:val="22"/>
          <w:szCs w:val="22"/>
        </w:rPr>
        <w:t xml:space="preserve"/>
      </w:r>
    </w:p>
    <w:p>
      <w:pPr>
        <w:pBdr>
          <w:bottom w:val="single" w:color="CDB29D" w:sz="3" w:space="1"/>
        </w:pBdr>
        <w:spacing w:after="140" w:before="140"/>
      </w:pPr>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val="false"/>
          <w:iCs w:val="false"/>
          <w:color w:val="888888"/>
          <w:sz w:val="20"/>
          <w:szCs w:val="20"/>
        </w:rPr>
        <w:t xml:space="preserve">Testigo 1: __________________________________     Testigo 2: __________________________________</w:t>
      </w:r>
    </w:p>
    <w:p>
      <w:r>
        <w:rPr>
          <w:rFonts w:ascii="Arial" w:cs="Arial" w:eastAsia="Arial" w:hAnsi="Arial"/>
          <w:b w:val="false"/>
          <w:bCs w:val="false"/>
          <w:i w:val="false"/>
          <w:iCs w:val="false"/>
          <w:color w:val="1A1A18"/>
          <w:sz w:val="22"/>
          <w:szCs w:val="22"/>
        </w:rPr>
        <w:t xml:space="preserve"/>
      </w:r>
    </w:p>
    <w:p>
      <w:pPr>
        <w:spacing w:after="80" w:before="80" w:line="280"/>
        <w:jc w:val="center"/>
      </w:pPr>
      <w:r>
        <w:rPr>
          <w:rFonts w:ascii="Arial" w:cs="Arial" w:eastAsia="Arial" w:hAnsi="Arial"/>
          <w:b w:val="false"/>
          <w:bCs w:val="false"/>
          <w:i w:val="false"/>
          <w:iCs w:val="false"/>
          <w:color w:val="305C4D"/>
          <w:sz w:val="21"/>
          <w:szCs w:val="21"/>
        </w:rPr>
        <w:t xml:space="preserve">Recibí y leí el Reglamento Interno  _______________     Recibí Aviso de Privacidad  _______________</w:t>
      </w:r>
    </w:p>
    <w:p>
      <w:pPr>
        <w:pageBreakBefore/>
      </w:pPr>
      <w:r>
        <w:rPr>
          <w:rFonts w:ascii="Arial" w:cs="Arial" w:eastAsia="Arial" w:hAnsi="Arial"/>
          <w:b w:val="false"/>
          <w:bCs w:val="false"/>
          <w:i w:val="false"/>
          <w:iCs w:val="false"/>
          <w:color w:val="1A1A18"/>
          <w:sz w:val="22"/>
          <w:szCs w:val="22"/>
        </w:rPr>
        <w:t xml:space="preserve"/>
      </w:r>
    </w:p>
    <w:p>
      <w:pPr>
        <w:pStyle w:val="Heading1"/>
        <w:spacing w:after="120" w:before="280"/>
      </w:pPr>
      <w:r>
        <w:rPr>
          <w:rFonts w:ascii="Arial" w:cs="Arial" w:eastAsia="Arial" w:hAnsi="Arial"/>
          <w:b/>
          <w:bCs/>
          <w:i w:val="false"/>
          <w:iCs w:val="false"/>
          <w:color w:val="14352A"/>
          <w:sz w:val="26"/>
          <w:szCs w:val="26"/>
        </w:rPr>
        <w:t xml:space="preserve">ANEXO A. FUNDAMENTOS LEGALES</w:t>
      </w:r>
    </w:p>
    <w:p>
      <w:pPr>
        <w:spacing w:after="80" w:before="80" w:line="280"/>
        <w:jc w:val="both"/>
      </w:pPr>
      <w:r>
        <w:rPr>
          <w:rFonts w:ascii="Arial" w:cs="Arial" w:eastAsia="Arial" w:hAnsi="Arial"/>
          <w:b w:val="false"/>
          <w:bCs w:val="false"/>
          <w:i/>
          <w:iCs/>
          <w:color w:val="1A1A18"/>
          <w:sz w:val="22"/>
          <w:szCs w:val="22"/>
        </w:rPr>
        <w:t xml:space="preserve">Todos los ordenamientos que respaldan este contrato:</w:t>
      </w:r>
    </w:p>
    <w:p>
      <w:r>
        <w:rPr>
          <w:rFonts w:ascii="Arial" w:cs="Arial" w:eastAsia="Arial" w:hAnsi="Arial"/>
          <w:b w:val="false"/>
          <w:bCs w:val="false"/>
          <w:i w:val="false"/>
          <w:iCs w:val="false"/>
          <w:color w:val="1A1A1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Ordenamiento</w:t>
            </w:r>
          </w:p>
        </w:tc>
        <w:tc>
          <w:tcPr>
            <w:tcW w:type="dxa" w:w="6860"/>
            <w:tcBorders>
              <w:top w:val="single" w:color="D5CBC0" w:sz="1"/>
              <w:left w:val="single" w:color="D5CBC0" w:sz="1"/>
              <w:bottom w:val="single" w:color="D5CBC0" w:sz="1"/>
              <w:right w:val="single" w:color="D5CBC0" w:sz="1"/>
            </w:tcBorders>
            <w:shd w:fill="14352A" w:val="clear"/>
            <w:tcMar>
              <w:top w:type="dxa" w:w="90"/>
              <w:left w:type="dxa" w:w="120"/>
              <w:bottom w:type="dxa" w:w="90"/>
              <w:right w:type="dxa" w:w="120"/>
            </w:tcMar>
            <w:vAlign w:val="center"/>
          </w:tcPr>
          <w:p>
            <w:pPr>
              <w:jc w:val="center"/>
            </w:pPr>
            <w:r>
              <w:rPr>
                <w:rFonts w:ascii="Arial" w:cs="Arial" w:eastAsia="Arial" w:hAnsi="Arial"/>
                <w:b/>
                <w:bCs/>
                <w:i w:val="false"/>
                <w:iCs w:val="false"/>
                <w:color w:val="FFFFFF"/>
                <w:sz w:val="20"/>
                <w:szCs w:val="20"/>
              </w:rPr>
              <w:t xml:space="preserve">Aplicación en este contrato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Constitución Art. 14</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Principio de legalidad y seguridad jurídica para ambas partes.</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Constitución Art. 16</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Inviolabilidad del domicilio durante la vigencia del arrendamiento.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Constitución Art. 19</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Nadie puede ser detenido sino por causa de delito. Fundamento para la rescisión por actividades ilegales.</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1796</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Los contratos obligan desde que se perfeccionan por el consentimiento de las partes.</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1797</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Las obligaciones contractuales son exigibles entre las partes.</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1832</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Las partes quedan obligadas a lo expresamente pactado y a sus consecuencias legales.</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1910</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Quien causa un daño está obligado a repararlo.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1949</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Rescisión por incumplimiento de obligaciones.</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1991</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Acción de repetición: quien paga por daño causado por otro puede reclamarle el reembolso.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2012</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Las obligaciones nacen desde que se perfecciona el acuerdo.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2014</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pago de arras perfecciona el acuerdo y genera obligaciones para ambas partes.</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2104</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incumplimiento genera responsabilidad de indemnizar los daños causados.</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2110</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Los daños deben ser consecuencia directa del incumplimiento o del acto dañoso.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2386</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Arras: quien las entrega las pierde si no cumple.</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2398</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Definición y naturaleza del contrato de arrendamiento.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2399</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arrendamiento concede el uso o goce temporal a cambio de precio cierto.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2400</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precio debe ser cierto y determinado.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2412</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Obligaciones del arrendador.</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2425</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Obligación principal del arrendatario: pagar la renta.</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2427</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Forma, tiempo y lugar de pago de la renta.</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2429</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arrendatario responde por deterioros causados por su culpa o la de quienes habiten con él.</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2431</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arrendador puede rescindir el contrato por falta de pago.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2432</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Reparaciones urgentes durante el arrendamiento.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2445</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Al término del contrato, el arrendatario devuelve el inmueble en el estado en que lo recibió.</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2448-D</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Actualización anual de la renta conforme al INPC.</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2448-J</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Los pagos por periodo pactado no son reembolsables por días no utilizados.</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2478</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arrendamiento puede ser por tiempo determinado o indeterminado.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2479</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Terminación por aviso previo.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2480</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Prohibición de subarrendar sin consentimiento escrito.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2481</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Prohibición de ceder el contrato sin autorización.</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2483</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Causas de terminación del arrendamiento.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2486</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pago no se suspende por causas imputables al arrendatario.</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2489</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Causas de rescisión del contrato a favor del arrendador.</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Arts. 2856, 2858, 2859</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Naturaleza jurídica de la prenda como garantía real.</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CCDF Art. 2866</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La prenda puede aplicarse a cualquier obligación derivada de la relación contractual.</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LIVA Art. 20 fracc. II</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El arrendamiento habitacional está exento de IVA.</w:t>
            </w:r>
          </w:p>
        </w:tc>
      </w:tr>
      <w:tr>
        <w:tc>
          <w:tcPr>
            <w:tcW w:type="dxa" w:w="250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LFPDPPP</w:t>
            </w:r>
          </w:p>
        </w:tc>
        <w:tc>
          <w:tcPr>
            <w:tcW w:type="dxa" w:w="6860"/>
            <w:tcBorders>
              <w:top w:val="single" w:color="D5CBC0" w:sz="1"/>
              <w:left w:val="single" w:color="D5CBC0" w:sz="1"/>
              <w:bottom w:val="single" w:color="D5CBC0" w:sz="1"/>
              <w:right w:val="single" w:color="D5CBC0" w:sz="1"/>
            </w:tcBorders>
            <w:shd w:fill="F0EEE8"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Tratamiento y protección de datos personales del arrendatario.</w:t>
            </w:r>
          </w:p>
        </w:tc>
      </w:tr>
      <w:tr>
        <w:tc>
          <w:tcPr>
            <w:tcW w:type="dxa" w:w="250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r>
              <w:rPr>
                <w:rFonts w:ascii="Arial" w:cs="Arial" w:eastAsia="Arial" w:hAnsi="Arial"/>
                <w:b/>
                <w:bCs/>
                <w:i w:val="false"/>
                <w:iCs w:val="false"/>
                <w:color w:val="305C4D"/>
                <w:sz w:val="19"/>
                <w:szCs w:val="19"/>
              </w:rPr>
              <w:t xml:space="preserve">Código Penal Federal</w:t>
            </w:r>
          </w:p>
        </w:tc>
        <w:tc>
          <w:tcPr>
            <w:tcW w:type="dxa" w:w="6860"/>
            <w:tcBorders>
              <w:top w:val="single" w:color="D5CBC0" w:sz="1"/>
              <w:left w:val="single" w:color="D5CBC0" w:sz="1"/>
              <w:bottom w:val="single" w:color="D5CBC0" w:sz="1"/>
              <w:right w:val="single" w:color="D5CBC0" w:sz="1"/>
            </w:tcBorders>
            <w:shd w:fill="FFFFFF" w:val="clear"/>
            <w:tcMar>
              <w:top w:type="dxa" w:w="90"/>
              <w:left w:type="dxa" w:w="120"/>
              <w:bottom w:type="dxa" w:w="90"/>
              <w:right w:type="dxa" w:w="120"/>
            </w:tcMar>
            <w:vAlign w:val="center"/>
          </w:tcPr>
          <w:p>
            <w:pPr>
              <w:jc w:val="both"/>
            </w:pPr>
            <w:r>
              <w:rPr>
                <w:rFonts w:ascii="Arial" w:cs="Arial" w:eastAsia="Arial" w:hAnsi="Arial"/>
                <w:b w:val="false"/>
                <w:bCs w:val="false"/>
                <w:i w:val="false"/>
                <w:iCs w:val="false"/>
                <w:color w:val="1A1A18"/>
                <w:sz w:val="19"/>
                <w:szCs w:val="19"/>
              </w:rPr>
              <w:t xml:space="preserve">Actividades ilícitas, portación de armas y conductas delictivas son causas de rescisión inmediata.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B29D" w:sz="3" w:space="2"/>
      </w:pBdr>
      <w:spacing w:before="80"/>
      <w:jc w:val="center"/>
    </w:pPr>
    <w:r>
      <w:rPr>
        <w:rFonts w:ascii="Arial" w:cs="Arial" w:eastAsia="Arial" w:hAnsi="Arial"/>
        <w:b w:val="false"/>
        <w:bCs w:val="false"/>
        <w:i w:val="false"/>
        <w:iCs w:val="false"/>
        <w:color w:val="305C4D"/>
        <w:sz w:val="18"/>
        <w:szCs w:val="18"/>
      </w:rPr>
      <w:t xml:space="preserve">Página </w:t>
    </w:r>
    <w:r>
      <w:rPr>
        <w:rFonts w:ascii="Arial" w:cs="Arial" w:eastAsia="Arial" w:hAnsi="Arial"/>
        <w:color w:val="305C4D"/>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305C4D"/>
        <w:sz w:val="18"/>
        <w:szCs w:val="18"/>
      </w:rPr>
      <w:t xml:space="preserve"> de </w:t>
    </w:r>
    <w:r>
      <w:rPr>
        <w:rFonts w:ascii="Arial" w:cs="Arial" w:eastAsia="Arial" w:hAnsi="Arial"/>
        <w:color w:val="305C4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B29D" w:sz="3" w:space="2"/>
      </w:pBdr>
      <w:spacing w:after="100"/>
      <w:jc w:val="right"/>
    </w:pPr>
    <w:r>
      <w:rPr>
        <w:rFonts w:ascii="Arial" w:cs="Arial" w:eastAsia="Arial" w:hAnsi="Arial"/>
        <w:b w:val="false"/>
        <w:bCs w:val="false"/>
        <w:i w:val="false"/>
        <w:iCs w:val="false"/>
        <w:color w:val="305C4D"/>
        <w:sz w:val="18"/>
        <w:szCs w:val="18"/>
      </w:rPr>
      <w:t xml:space="preserve">Antioquia 43 — Contrato de Arrendamiento de Habitación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4352A"/>
      <w:sz w:val="26"/>
      <w:szCs w:val="26"/>
    </w:rPr>
  </w:style>
  <w:style w:type="paragraph" w:styleId="Heading2">
    <w:name w:val="Heading 2"/>
    <w:basedOn w:val="Normal"/>
    <w:next w:val="Normal"/>
    <w:pPr>
      <w:spacing w:after="100" w:before="200"/>
      <w:outlineLvl w:val="1"/>
    </w:pPr>
    <w:rPr>
      <w:rFonts w:ascii="Arial" w:cs="Arial" w:eastAsia="Arial" w:hAnsi="Arial"/>
      <w:b/>
      <w:bCs/>
      <w:color w:val="305C4D"/>
      <w:sz w:val="23"/>
      <w:szCs w:val="23"/>
    </w:rPr>
  </w:style>
  <w:style w:type="paragraph" w:styleId="Heading3">
    <w:name w:val="Heading 3"/>
    <w:basedOn w:val="Normal"/>
    <w:next w:val="Normal"/>
    <w:pPr>
      <w:spacing w:after="80" w:before="160"/>
      <w:outlineLvl w:val="2"/>
    </w:pPr>
    <w:rPr>
      <w:rFonts w:ascii="Arial" w:cs="Arial" w:eastAsia="Arial" w:hAnsi="Arial"/>
      <w:b/>
      <w:bCs/>
      <w:color w:val="3452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2026-05-20T04:56:59.437Z</dcterms:created>
  <dcterms:modified xsi:type="dcterms:W3CDTF">2026-05-20T04:56:59.451Z</dcterms:modified>
</cp:coreProperties>
</file>

<file path=docProps/custom.xml><?xml version="1.0" encoding="utf-8"?>
<Properties xmlns="http://schemas.openxmlformats.org/officeDocument/2006/custom-properties" xmlns:vt="http://schemas.openxmlformats.org/officeDocument/2006/docPropsVTypes"/>
</file>