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52"/>
          <w:szCs w:val="52"/>
        </w:rPr>
        <w:t xml:space="preserve">ANTIOQUIA 43</w:t>
      </w:r>
    </w:p>
    <w:p>
      <w:pPr>
        <w:spacing w:after="80" w:before="80" w:line="2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05C4D"/>
          <w:sz w:val="28"/>
          <w:szCs w:val="28"/>
        </w:rPr>
        <w:t xml:space="preserve">Reglamento Interno del Inmueble</w:t>
      </w:r>
    </w:p>
    <w:p>
      <w:pPr>
        <w:spacing w:after="80" w:before="80" w:line="2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1"/>
          <w:szCs w:val="21"/>
        </w:rPr>
        <w:t xml:space="preserve">Paseo de Antioquia No. 43 · Col. Lomas Estrella · Alcaldía Iztapalapa · CDMX · C.P. 09890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8"/>
          <w:sz w:val="22"/>
          <w:szCs w:val="22"/>
        </w:rPr>
        <w:t xml:space="preserve">Este Reglamento forma parte integrante del Contrato de Arrendamiento. Su cumplimiento es obligatorio para todos los habitantes y sus visitas. Está pensado para que vivamos bien juntos.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I. REGLAS GENERALES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Al llegar después de las 00:00 hrs avisa con anticipación — se pone la aldaba de seguridad.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Cada habitante recibe un juego de llaves. La reposición cuesta $90.00 M.N. al momento.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Si dejas llaves con alguien de confianza externo, infórmalo a la administración.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No se permiten conductas violentas, acosadoras, ilegales ni que pongan en riesgo a otros habitantes. Toda falta se documenta y puede constituir causa de rescisión inmediata.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No se permite el consumo, almacenamiento ni venta de sustancias ilegales en ninguna parte del inmueble.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No se permite la portación de armas de fuego ni objetos peligrosos dentro del inmueble, salvo los permitidos expresamente por la ley.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Convivencia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Música o ruido fuerte en habitaciones: de 6:30 a 24:00 hrs.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Música o ruido fuerte en áreas comunes: de 9:00 a 22:00 hrs.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Excepción en áreas comunes: solo si el 90% de los habitantes participa y el resto está de acuerdo.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Tres reportes por música fuera de horario = rescisión y aplicación de la garantía.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II. BASURA Y RESIDUOS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La basura es responsabilidad de quien la genera. No puede dejarse en áreas comunes.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camión de basura pasa por Paseo de Antioquia los fines de semana y entre semana.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Los botes de los baños deben vaciarse constantemente.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No se permite acumular residuos ni alimentos en mal estado en habitaciones o áreas comunes.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III. BAÑOS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Cada habitante tiene un baño asignado en su expediente. Cambios en PB: vía app si hay cupo. P1: solo admin. TP: sin opción.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Limpieza profunda cada 3 días conforme al calendario de la app. Se acredita con foto en máximo 12 horas.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Dejar el baño limpio después de cada uso: jalar la cadena, limpiar la taza, retirar artículos personales.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Prohibido usar el sanitario para necesidades de mascotas.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Los desechos de mascotas no pueden acumularse en habitaciones ni en los botes del baño.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IV. COCINAS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IV.1 Reglas de uso diario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CocinaPB es compartida por Planta Baja y Primer Piso. CocinaTP es del Piso Terraza. Solo quienes habiliten el uso de cocina en su expediente participan en el calendario de limpieza.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Limpiar después de cada uso, sin excepción.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No dejar comida en la estufa, tarja ni encimeras.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Lavar utensilios y electrodomésticos al momento.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Retirar trastes del escurridor cuanto antes.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Refrigerador: limpiar al menos una vez por semana. Prohibido dejar alimentos en descomposición.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Prohibido: latas abiertas, alimentos con olor fuerte mal empacados.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Antes de tirar alimentos ajenos: notificar al grupo primero.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No consumir alimentos ajenos. Si fue un error, reponer a la brevedad.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IV.2 Calendario de limpieza de cocina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Limpieza programada cada 3 días, acreditada con foto en máximo 12 horas.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Además, obligatorio limpiar después de cada uso individual.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3 incumplimientos en un mes = causa de rescisión. (Art. 2489 CCDF)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V. LAVANDERÍA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V.1 Servicio de lavadora (opcional, con costo)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45241"/>
          <w:sz w:val="20"/>
          <w:szCs w:val="20"/>
        </w:rPr>
        <w:t xml:space="preserve">El uso de la lavadora es un servicio opcional. Ver Addendum de Servicios para tarifas.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Horario: 8:00 a 23:00 hrs.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Reservar a través del calendario de la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No dejar ropa en la lavadora más de 30 minutos después del ciclo.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Prohibido lavar calzado.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Los daños a la lavadora por mal uso se cubren de la garantía del habitante responsable. (Arts. 1910, 2104, 2110, 1991, 2866 CCDF)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V.2 Fregadero y tendedero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Fregadero limpio y disponible en todo momento. Prohibido dejar cosas en remojo.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Desocupar el tendedero en cuanto la ropa esté seca.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VI. ALMACENAMIENTO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VI.1 Locker y refrigerador (opcional, con costo)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45241"/>
          <w:sz w:val="20"/>
          <w:szCs w:val="20"/>
        </w:rPr>
        <w:t xml:space="preserve">Servicio opcional. Ver Addendum de Servicios para tarifas.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Uso estrictamente personal e intransferible.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Prohibido almacenar sustancias peligrosas, ilegales o alimentos con olor fuerte mal empacados.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Desocupar el espacio el día de vencimiento.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Los daños al locker o refrigerador por mal uso se cubren de la garantía del habitante responsable. (Arts. 1910, 2104, 2110, 1991, 2866 CCDF)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Reportar incidencias a través del módulo de soporte de la app.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VII. VISITAS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Visitas permitidas de 10:00 a 22:00 hrs.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 las 24:00 hrs se pone el seguro de la entrada — las visitas deben haberse 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Pernoctaciones ocasionales de emergencia: notificar al grupo. Si se vuelve hábito sin registro, activa el protocolo de visita estacionaria del contrato.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Visita sin check-out a las 72 horas: activa automáticamente el protocolo del contrato.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inmueble tiene videovigilancia en áreas comunes.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VIII. OCUPANTES ADICIONALES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Declarados desde el inicio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Su perfil queda en el expediente desde el primer día. La renta y garantía ya reflejan su ocupación.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Incorporados durante la estancia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Registrarlos en la app en cuanto inicien su estadía habitual.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Al pasar a permanente: perfil en expediente con nombre, INE, fecha y costo. La garantía se ajusta al siguiente periodo.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Expediente de ocupantes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expediente muestra siempre: titular, ocupantes permanentes y temporales activos, con nombre, INE, tipo y costo mensual asociado.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IX. MASCOTAS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Máximo 6 mascotas por habitación, declaradas en el expediente.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No circular sin supervisión por áreas comunes.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Paseos al exterior para necesidades. Arenero limpio constantemente.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Los daños causados por mascotas se cubren de la garantía. (Arts. 1910, 2104, 2866 CCDF)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X. REPARACIONES Y MODIFICACIONES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Primeros 45 días: modificaciones menores sin costo de mano de obra.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Después: costos a cargo del habitante.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Modificaciones estructurales: prohibidas.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Modificaciones al baño: requieren aprobación previa.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Reparaciones por desgaste natural: responsabilidad de la arrendadora. Reportar en la app.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XI. USO DE LA HABITACIÓN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Uso exclusivo habitacional para los ocupantes declarados o registrados.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Prohibida toda actividad comercial, ilegal o que no sea de vivienda dentro de la propiedad.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Sin sustitución, permuta ni cesión sin consentimiento escrito de la arrendadora.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XII. TABLA DE SANCIONES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14352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Infracción</w:t>
            </w:r>
          </w:p>
        </w:tc>
        <w:tc>
          <w:tcPr>
            <w:tcW w:type="dxa" w:w="5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14352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Consecuencia</w:t>
            </w:r>
          </w:p>
        </w:tc>
      </w:tr>
      <w:tr>
        <w:tc>
          <w:tcPr>
            <w:tcW w:type="dxa" w:w="3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Música fuera de horario (3er reporte)</w:t>
            </w:r>
          </w:p>
        </w:tc>
        <w:tc>
          <w:tcPr>
            <w:tcW w:type="dxa" w:w="5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Rescisión y aplicación de la garantía.</w:t>
            </w:r>
          </w:p>
        </w:tc>
      </w:tr>
      <w:tr>
        <w:tc>
          <w:tcPr>
            <w:tcW w:type="dxa" w:w="3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3 incumplimientos de turno de limpieza en 1 mes</w:t>
            </w:r>
          </w:p>
        </w:tc>
        <w:tc>
          <w:tcPr>
            <w:tcW w:type="dxa" w:w="5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Causa de rescisión. (Art. 2489 CCDF)</w:t>
            </w:r>
          </w:p>
        </w:tc>
      </w:tr>
      <w:tr>
        <w:tc>
          <w:tcPr>
            <w:tcW w:type="dxa" w:w="3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Ocupante no declarado ni registrado</w:t>
            </w:r>
          </w:p>
        </w:tc>
        <w:tc>
          <w:tcPr>
            <w:tcW w:type="dxa" w:w="5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Rescisión inmediata. 15 días para desocupar. Sin reembolso.</w:t>
            </w:r>
          </w:p>
        </w:tc>
      </w:tr>
      <w:tr>
        <w:tc>
          <w:tcPr>
            <w:tcW w:type="dxa" w:w="3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Subarriendo</w:t>
            </w:r>
          </w:p>
        </w:tc>
        <w:tc>
          <w:tcPr>
            <w:tcW w:type="dxa" w:w="5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Rescisión inmediata. (Art. 2489 CCDF)</w:t>
            </w:r>
          </w:p>
        </w:tc>
      </w:tr>
      <w:tr>
        <w:tc>
          <w:tcPr>
            <w:tcW w:type="dxa" w:w="3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Actividades ilegales / sustancias / armas</w:t>
            </w:r>
          </w:p>
        </w:tc>
        <w:tc>
          <w:tcPr>
            <w:tcW w:type="dxa" w:w="5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Rescisión inmediata. 3 días para desocupar. Denuncia ante autoridades.</w:t>
            </w:r>
          </w:p>
        </w:tc>
      </w:tr>
      <w:tr>
        <w:tc>
          <w:tcPr>
            <w:tcW w:type="dxa" w:w="3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Antecedentes penales no informados</w:t>
            </w:r>
          </w:p>
        </w:tc>
        <w:tc>
          <w:tcPr>
            <w:tcW w:type="dxa" w:w="5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Rescisión inmediata. 15 días para desocupar. Sin reembolso.</w:t>
            </w:r>
          </w:p>
        </w:tc>
      </w:tr>
      <w:tr>
        <w:tc>
          <w:tcPr>
            <w:tcW w:type="dxa" w:w="3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Conducta violenta o que ponga en riesgo a otros</w:t>
            </w:r>
          </w:p>
        </w:tc>
        <w:tc>
          <w:tcPr>
            <w:tcW w:type="dxa" w:w="5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Rescisión inmediata y reporte a autoridades.</w:t>
            </w:r>
          </w:p>
        </w:tc>
      </w:tr>
      <w:tr>
        <w:tc>
          <w:tcPr>
            <w:tcW w:type="dxa" w:w="3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Daños por mal uso o mascotas</w:t>
            </w:r>
          </w:p>
        </w:tc>
        <w:tc>
          <w:tcPr>
            <w:tcW w:type="dxa" w:w="5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Se cubre de la garantía con justificación. (Art. 2110 CCDF)</w:t>
            </w:r>
          </w:p>
        </w:tc>
      </w:tr>
      <w:tr>
        <w:tc>
          <w:tcPr>
            <w:tcW w:type="dxa" w:w="3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Falta de pago al 4° día de gracia</w:t>
            </w:r>
          </w:p>
        </w:tc>
        <w:tc>
          <w:tcPr>
            <w:tcW w:type="dxa" w:w="5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Protocolo de salida o aplicación de la garantía. (Art. 2431 CCDF)</w:t>
            </w:r>
          </w:p>
        </w:tc>
      </w:tr>
      <w:tr>
        <w:tc>
          <w:tcPr>
            <w:tcW w:type="dxa" w:w="3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Mal uso de lavadora</w:t>
            </w:r>
          </w:p>
        </w:tc>
        <w:tc>
          <w:tcPr>
            <w:tcW w:type="dxa" w:w="5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Reparación a cargo del inquilino, descontable de la garantía.</w:t>
            </w:r>
          </w:p>
        </w:tc>
      </w:tr>
      <w:tr>
        <w:tc>
          <w:tcPr>
            <w:tcW w:type="dxa" w:w="3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Alimentos ajenos consumidos sin aviso</w:t>
            </w:r>
          </w:p>
        </w:tc>
        <w:tc>
          <w:tcPr>
            <w:tcW w:type="dxa" w:w="5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Reposición inmediata.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80" w:line="2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1A18"/>
          <w:sz w:val="22"/>
          <w:szCs w:val="22"/>
        </w:rPr>
        <w:t xml:space="preserve">Habiendo leído íntegramente este Reglamento, el habitante declara estar de acuerdo y se compromete a cumplirlo durante toda su estancia.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Bdr>
                <w:bottom w:val="single" w:color="CDB29D" w:sz="4" w:space="1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Bdr>
                <w:bottom w:val="single" w:color="CDB29D" w:sz="4" w:space="1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 w:before="8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05C4D"/>
                <w:sz w:val="20"/>
                <w:szCs w:val="20"/>
              </w:rPr>
              <w:t xml:space="preserve">LA ARRENDADORA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 w:before="8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05C4D"/>
                <w:sz w:val="20"/>
                <w:szCs w:val="20"/>
              </w:rPr>
              <w:t xml:space="preserve">EL HABITANTE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Bdr>
                <w:bottom w:val="single" w:color="CDB29D" w:sz="4" w:space="1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Bdr>
                <w:bottom w:val="single" w:color="CDB29D" w:sz="4" w:space="1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 w:before="8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05C4D"/>
                <w:sz w:val="20"/>
                <w:szCs w:val="20"/>
              </w:rPr>
              <w:t xml:space="preserve">BELEM CISNEROS DÍAZ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 w:before="8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05C4D"/>
                <w:sz w:val="20"/>
                <w:szCs w:val="20"/>
              </w:rPr>
              <w:t xml:space="preserve">Nombre, fecha y firma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DB29D" w:sz="3" w:space="2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305C4D"/>
        <w:sz w:val="18"/>
        <w:szCs w:val="18"/>
      </w:rPr>
      <w:t xml:space="preserve">Página </w:t>
    </w:r>
    <w:r>
      <w:rPr>
        <w:rFonts w:ascii="Arial" w:cs="Arial" w:eastAsia="Arial" w:hAnsi="Arial"/>
        <w:color w:val="305C4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305C4D"/>
        <w:sz w:val="18"/>
        <w:szCs w:val="18"/>
      </w:rPr>
      <w:t xml:space="preserve"> de </w:t>
    </w:r>
    <w:r>
      <w:rPr>
        <w:rFonts w:ascii="Arial" w:cs="Arial" w:eastAsia="Arial" w:hAnsi="Arial"/>
        <w:color w:val="305C4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DB29D" w:sz="3" w:space="2"/>
      </w:pBdr>
      <w:spacing w:after="10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305C4D"/>
        <w:sz w:val="18"/>
        <w:szCs w:val="18"/>
      </w:rPr>
      <w:t xml:space="preserve">Antioquia 43 — Reglamento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80"/>
      <w:outlineLvl w:val="0"/>
    </w:pPr>
    <w:rPr>
      <w:rFonts w:ascii="Arial" w:cs="Arial" w:eastAsia="Arial" w:hAnsi="Arial"/>
      <w:b/>
      <w:bCs/>
      <w:color w:val="14352A"/>
      <w:sz w:val="26"/>
      <w:szCs w:val="26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305C4D"/>
      <w:sz w:val="23"/>
      <w:szCs w:val="23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3452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2026-05-20T05:22:32.876Z</dcterms:created>
  <dcterms:modified xsi:type="dcterms:W3CDTF">2026-05-20T05:22:32.876Z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