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87517" w:rsidRDefault="00000000">
      <w:pPr>
        <w:jc w:val="center"/>
      </w:pPr>
      <w:r>
        <w:rPr>
          <w:b/>
          <w:sz w:val="28"/>
        </w:rPr>
        <w:t>Barrel Shape and Chromophore Rigidity Predict Fluorescent-Protein Photophysics</w:t>
      </w:r>
    </w:p>
    <w:p w:rsidR="00E87517" w:rsidRDefault="00E87517"/>
    <w:p w:rsidR="00E87517" w:rsidRDefault="00000000">
      <w:pPr>
        <w:jc w:val="center"/>
      </w:pPr>
      <w:r>
        <w:t>Luke P. Begg, Madeline L. Mason, Marc Zimmer*</w:t>
      </w:r>
    </w:p>
    <w:p w:rsidR="00E87517" w:rsidRDefault="00000000">
      <w:pPr>
        <w:jc w:val="center"/>
      </w:pPr>
      <w:r>
        <w:rPr>
          <w:i/>
          <w:sz w:val="22"/>
        </w:rPr>
        <w:t>Chemistry Department, Connecticut College, New London, CT 06320</w:t>
      </w:r>
    </w:p>
    <w:p w:rsidR="00E87517" w:rsidRDefault="00E87517"/>
    <w:p w:rsidR="00E87517" w:rsidRDefault="00000000">
      <w:r>
        <w:rPr>
          <w:b/>
          <w:sz w:val="22"/>
        </w:rPr>
        <w:t>Keywords:</w:t>
      </w:r>
      <w:r>
        <w:rPr>
          <w:sz w:val="22"/>
        </w:rPr>
        <w:t xml:space="preserve"> fluorescent proteins; beta-barrel geometry; chromophore rigidity; photophysical properties; Protein Data Bank; AlphaFold; computational structural biology; agentic AI</w:t>
      </w:r>
    </w:p>
    <w:p w:rsidR="00E87517" w:rsidRDefault="00E87517"/>
    <w:p w:rsidR="00E87517" w:rsidRDefault="00000000">
      <w:pPr>
        <w:jc w:val="center"/>
      </w:pPr>
      <w:r>
        <w:rPr>
          <w:b/>
        </w:rPr>
        <w:t>Abstract</w:t>
      </w:r>
    </w:p>
    <w:p w:rsidR="00E87517" w:rsidRDefault="00000000">
      <w: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w:t>
      </w:r>
      <w:r w:rsidR="00BC609E">
        <w:t>, of which</w:t>
      </w:r>
      <w:r>
        <w:t xml:space="preserve"> 780 structures form the canonical analysis cohort. Barrel shape, but not size, correlates with emission wavelength: red-shifted proteins have narrower, more elliptical barrels (ρ = –0.328 for minor axis, p = 2.2 × 10⁻¹⁷). The chromophore-to-scaffold B-factor ratio is the strongest predictor of quantum yield (ρ = –0.446, p &lt; 10⁻¹³). Chromophore dihedral angles correlate with both barrel eccentricity and photophysical performance. Principal correlations survive Benjamini–Hochberg correction and partial correlation controlling for resolution. The barrel is not a passive scaffold: </w:t>
      </w:r>
      <w:r w:rsidR="00BC609E">
        <w:t xml:space="preserve">together with </w:t>
      </w:r>
      <w:r>
        <w:t xml:space="preserve">chromophore rigidity </w:t>
      </w:r>
      <w:r w:rsidR="00BC609E">
        <w:t>it</w:t>
      </w:r>
      <w:r>
        <w:t xml:space="preserve"> shapes photophysical output. The pipeline was developed with Claude (Anthropic) via Claude Code.</w:t>
      </w:r>
    </w:p>
    <w:p w:rsidR="00E87517" w:rsidRDefault="00E87517"/>
    <w:p w:rsidR="00E87517" w:rsidRDefault="004D4694">
      <w:pPr>
        <w:jc w:val="center"/>
      </w:pPr>
      <w:r>
        <w:rPr>
          <w:noProof/>
        </w:rPr>
        <w:lastRenderedPageBreak/>
        <w:drawing>
          <wp:inline distT="0" distB="0" distL="0" distR="0">
            <wp:extent cx="5943600" cy="2222500"/>
            <wp:effectExtent l="0" t="0" r="0" b="0"/>
            <wp:docPr id="1637323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3909" name="Picture 1637323909"/>
                    <pic:cNvPicPr/>
                  </pic:nvPicPr>
                  <pic:blipFill>
                    <a:blip r:embed="rId8"/>
                    <a:stretch>
                      <a:fillRect/>
                    </a:stretch>
                  </pic:blipFill>
                  <pic:spPr>
                    <a:xfrm>
                      <a:off x="0" y="0"/>
                      <a:ext cx="5943600" cy="2222500"/>
                    </a:xfrm>
                    <a:prstGeom prst="rect">
                      <a:avLst/>
                    </a:prstGeom>
                  </pic:spPr>
                </pic:pic>
              </a:graphicData>
            </a:graphic>
          </wp:inline>
        </w:drawing>
      </w:r>
    </w:p>
    <w:p w:rsidR="00E87517" w:rsidRDefault="00E87517"/>
    <w:p w:rsidR="00E87517" w:rsidRDefault="00E87517"/>
    <w:p w:rsidR="00E87517" w:rsidRDefault="00000000">
      <w:r>
        <w:rPr>
          <w:b/>
          <w:sz w:val="28"/>
        </w:rPr>
        <w:t>Introduction</w:t>
      </w:r>
    </w:p>
    <w:p w:rsidR="00E87517" w:rsidRDefault="00000000">
      <w:pPr>
        <w:ind w:firstLine="720"/>
      </w:pPr>
      <w:r>
        <w:t xml:space="preserve">Green fluorescent protein (GFP), first observed in the jellyfish </w:t>
      </w:r>
      <w:r>
        <w:rPr>
          <w:i/>
        </w:rPr>
        <w:t>Aequorea victoria</w:t>
      </w:r>
      <w: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w:t>
      </w:r>
      <w:proofErr w:type="gramStart"/>
      <w:r>
        <w:t>Tsien.⁴</w:t>
      </w:r>
      <w:proofErr w:type="gramEnd"/>
      <w:r>
        <w:t xml:space="preserve"> In the decades since, fluorescent proteins have become indispensable tools across cell biology, neuroscience, and biotechnology, serving as reporters, biosensors, and partners in FRET⁵ and, more recently, super-resolution microscopy.⁶</w:t>
      </w:r>
      <w:r w:rsidR="00BC609E" w:rsidRPr="00BC609E">
        <w:rPr>
          <w:vertAlign w:val="superscript"/>
        </w:rPr>
        <w:t>-</w:t>
      </w:r>
      <w:r>
        <w:t>⁷</w:t>
      </w:r>
    </w:p>
    <w:p w:rsidR="00E87517" w:rsidRDefault="00000000">
      <w:pPr>
        <w:ind w:firstLine="720"/>
      </w:pPr>
      <w:r>
        <w:t>The three-dimensional structure of GFP, resolved by X-ray crystallography in 1996, revealed a distinctive 11-stranded beta-barrel fold approximately 42 Å in length and 24 Å in diameter.⁸</w:t>
      </w:r>
      <w:r w:rsidR="00BC609E" w:rsidRPr="00BC609E">
        <w:rPr>
          <w:vertAlign w:val="superscript"/>
        </w:rPr>
        <w:t>-</w:t>
      </w:r>
      <w:r>
        <w:t xml:space="preserve">⁹ This barrel encases a central alpha-helix, with </w:t>
      </w:r>
      <w:r w:rsidR="00BC609E">
        <w:t>a</w:t>
      </w:r>
      <w:r>
        <w:t xml:space="preserve"> chromophore</w:t>
      </w:r>
      <w:r w:rsidR="00BC609E">
        <w:t xml:space="preserve"> that is</w:t>
      </w:r>
      <w:r>
        <w:t xml:space="preserve"> formed by </w:t>
      </w:r>
      <w:r>
        <w:lastRenderedPageBreak/>
        <w:t xml:space="preserve">autocatalytic post-translational cyclization of residues Ser65–Tyr66–Gly67, </w:t>
      </w:r>
      <w:r w:rsidR="00BC609E">
        <w:t xml:space="preserve">which </w:t>
      </w:r>
      <w:r>
        <w:t>is positioned at the geometric center and shielded from solvent.¹⁰ˉ¹¹ The rigid encapsulation minimizes non-radiative decay, enabling high quantum yields. The same 11-stranded topology is conserved across all known fluorescent protein families, including GFP-derived variants and fluorescent proteins from anthozoan organisms such as DsRed, despite sequence identities as low as 25</w:t>
      </w:r>
      <w:proofErr w:type="gramStart"/>
      <w:r>
        <w:t>%.¹</w:t>
      </w:r>
      <w:proofErr w:type="gramEnd"/>
      <w:r>
        <w:t>²</w:t>
      </w:r>
      <w:r w:rsidR="00BC609E" w:rsidRPr="00BC609E">
        <w:rPr>
          <w:vertAlign w:val="superscript"/>
        </w:rPr>
        <w:t>-</w:t>
      </w:r>
      <w:r>
        <w:t>¹³</w:t>
      </w:r>
    </w:p>
    <w:p w:rsidR="00E87517" w:rsidRDefault="00000000">
      <w:pPr>
        <w:ind w:firstLine="720"/>
      </w:pPr>
      <w:r>
        <w:t>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w:t>
      </w:r>
      <w:r w:rsidRPr="000B0231">
        <w:rPr>
          <w:vertAlign w:val="superscript"/>
        </w:rPr>
        <w:t>,</w:t>
      </w:r>
      <w:r>
        <w:t xml:space="preserve">¹⁹ Hirano et al. developed StayGold, a green fluorescent protein from the jellyfish </w:t>
      </w:r>
      <w:r>
        <w:rPr>
          <w:i/>
        </w:rPr>
        <w:t>Cytaeis uchidae</w:t>
      </w:r>
      <w:r>
        <w:t>, which exhibits exceptional photostability.⁴¹ A persistent trend across is that quantum yield decreases with increasing emission wavelength.²⁰ This has been attributed to increased vibrational degrees of freedom in extended conjugation systems, which open additional non-radiative relaxation pathways.</w:t>
      </w:r>
    </w:p>
    <w:p w:rsidR="00E87517" w:rsidRDefault="00000000">
      <w:pPr>
        <w:ind w:firstLine="720"/>
      </w:pPr>
      <w:r>
        <w:t xml:space="preserve">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w:t>
      </w:r>
      <w:r>
        <w:lastRenderedPageBreak/>
        <w:t xml:space="preserve">spectral properties.²¹⁻²³ Computational studies have </w:t>
      </w:r>
      <w:r w:rsidR="000B0231">
        <w:t>suggested</w:t>
      </w:r>
      <w:r>
        <w:t xml:space="preserve"> that the barrel contracts upon chromophore maturation and that water permeability through the barrel wall varies between GFP variants.²⁴</w:t>
      </w:r>
      <w:r w:rsidRPr="000B0231">
        <w:rPr>
          <w:vertAlign w:val="superscript"/>
        </w:rPr>
        <w:t>,</w:t>
      </w:r>
      <w:r>
        <w:t>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rsidR="00E87517" w:rsidRDefault="00000000">
      <w:pPr>
        <w:ind w:firstLine="720"/>
      </w:pPr>
      <w:r>
        <w:t xml:space="preserve">Here, we report a systematic analysis of beta-barrel cross-sectional geometry across 908 fluorescent protein crystal structures from the RCSB Protein Data Bank. For each structure, the barrel axis was determined by PCA of backbone Cα coordinates, the structure was rotated to align this axis with the z-axis, and a perpendicular cross-sectional slice </w:t>
      </w:r>
      <w:r w:rsidR="000B0231">
        <w:t xml:space="preserve">of the barrel </w:t>
      </w:r>
      <w:r>
        <w:t>was extracted at the</w:t>
      </w:r>
      <w:r w:rsidR="000B0231">
        <w:t xml:space="preserve"> </w:t>
      </w:r>
      <w:r>
        <w:t>chromophore</w:t>
      </w:r>
      <w:r w:rsidR="000B0231">
        <w:t xml:space="preserve"> height</w:t>
      </w:r>
      <w:r>
        <w:t>.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chromophore rigidity relative to the barrel is a strong predictor of quantum yield (ρ = –0.446), and that dihedral twist correlates with both barrel eccentricity and photophysical performance.</w:t>
      </w:r>
    </w:p>
    <w:p w:rsidR="00E87517" w:rsidRDefault="00000000">
      <w:pPr>
        <w:ind w:firstLine="720"/>
      </w:pPr>
      <w:r>
        <w:t>Prior AI applications in FP research have used models trained on protein sequence or structural data for design: AlphaFold2 and RoseTTAFold to predict chromophore-related post-</w:t>
      </w:r>
      <w:r>
        <w:lastRenderedPageBreak/>
        <w: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w:t>
      </w:r>
      <w:r w:rsidR="00AE7690">
        <w:t xml:space="preserve">, </w:t>
      </w:r>
      <w:r>
        <w:t>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rsidR="00E87517" w:rsidRDefault="00E87517"/>
    <w:p w:rsidR="00E87517" w:rsidRDefault="00000000">
      <w:r>
        <w:rPr>
          <w:b/>
          <w:sz w:val="28"/>
        </w:rPr>
        <w:t>Methods</w:t>
      </w:r>
    </w:p>
    <w:p w:rsidR="00E87517" w:rsidRDefault="00000000">
      <w:r>
        <w:rPr>
          <w:b/>
          <w:i/>
        </w:rPr>
        <w:t>Dataset Assembly.</w:t>
      </w:r>
    </w:p>
    <w:p w:rsidR="00E87517" w:rsidRDefault="00000000">
      <w:pPr>
        <w:ind w:firstLine="720"/>
      </w:pPr>
      <w: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sidR="00E87517" w:rsidRDefault="00000000">
      <w:r>
        <w:rPr>
          <w:b/>
          <w:i/>
        </w:rPr>
        <w:t>Chromophore Detection.</w:t>
      </w:r>
    </w:p>
    <w:p w:rsidR="00E87517" w:rsidRDefault="00000000">
      <w:pPr>
        <w:ind w:firstLine="720"/>
      </w:pPr>
      <w:r>
        <w:lastRenderedPageBreak/>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sidR="00E87517" w:rsidRDefault="00000000">
      <w:r>
        <w:rPr>
          <w:b/>
          <w:i/>
        </w:rPr>
        <w:t>Chromophore Torsion Angles.</w:t>
      </w:r>
    </w:p>
    <w:p w:rsidR="00E87517" w:rsidRDefault="00000000">
      <w:pPr>
        <w:ind w:firstLine="720"/>
      </w:pPr>
      <w:r>
        <w:t>Chromophore dihedral angles were defined²⁷</w:t>
      </w:r>
      <w:r w:rsidR="004D1F4A">
        <w:t xml:space="preserve"> as</w:t>
      </w:r>
      <w:r>
        <w:t xml:space="preserve"> τ = N₁–C₁–C₂–C₃ (PDB atoms N2–CA2–CB2–CG2), describing rotation about the imidazolinone–bridge bond, and φ = C₁–C₂–C₃–C₄ </w:t>
      </w:r>
      <w:r>
        <w:lastRenderedPageBreak/>
        <w:t>(atoms CA2–CB2–CG2–CD1), describing rotation about the bridge–phenol bond. Structures with |τ| &lt; 30° were classified as cis, |τ| &gt; 150° as trans, and the remainder as twisted. Absolute magnitudes |τ| and |φ| are used in correlation analyses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sidR="00E87517" w:rsidRDefault="00000000">
      <w:r>
        <w:rPr>
          <w:b/>
          <w:i/>
        </w:rPr>
        <w:t>Barrel Axis Determination.</w:t>
      </w:r>
    </w:p>
    <w:p w:rsidR="00E87517" w:rsidRDefault="00000000">
      <w:pPr>
        <w:ind w:firstLine="720"/>
      </w:pPr>
      <w: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sidR="00E87517" w:rsidRDefault="00000000">
      <w:r>
        <w:rPr>
          <w:b/>
          <w:i/>
        </w:rPr>
        <w:t>Geometry Quantification.</w:t>
      </w:r>
    </w:p>
    <w:p w:rsidR="00E87517" w:rsidRDefault="00000000">
      <w:pPr>
        <w:ind w:firstLine="720"/>
      </w:pPr>
      <w:r>
        <w:t xml:space="preserve">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w:t>
      </w:r>
      <w:r>
        <w:lastRenderedPageBreak/>
        <w:t>–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sidR="00E87517" w:rsidRDefault="00000000">
      <w:r>
        <w:rPr>
          <w:b/>
          <w:i/>
        </w:rPr>
        <w:t>Canonical FP-Barrel Cohort.</w:t>
      </w:r>
    </w:p>
    <w:p w:rsidR="00E87517" w:rsidRDefault="00000000">
      <w:pPr>
        <w:ind w:firstLine="720"/>
      </w:pPr>
      <w:r>
        <w:t xml:space="preserve">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S2)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w:t>
      </w:r>
      <w:r>
        <w:lastRenderedPageBreak/>
        <w:t>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265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sidR="00E87517" w:rsidRDefault="00000000">
      <w:r>
        <w:rPr>
          <w:b/>
          <w:i/>
        </w:rPr>
        <w:t>Spectral and Photophysical Data.</w:t>
      </w:r>
    </w:p>
    <w:p w:rsidR="00E87517" w:rsidRDefault="00000000">
      <w:pPr>
        <w:ind w:firstLine="720"/>
      </w:pPr>
      <w: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Quantum yield and extinction coefficient values from published sources²</w:t>
      </w:r>
      <w:proofErr w:type="gramStart"/>
      <w:r>
        <w:t>⁰</w:t>
      </w:r>
      <w:r w:rsidRPr="00C3115F">
        <w:rPr>
          <w:vertAlign w:val="superscript"/>
        </w:rPr>
        <w:t>,</w:t>
      </w:r>
      <w:r>
        <w:t>³</w:t>
      </w:r>
      <w:proofErr w:type="gramEnd"/>
      <w:r>
        <w:t>⁴</w:t>
      </w:r>
      <w:r w:rsidRPr="00C3115F">
        <w:rPr>
          <w:vertAlign w:val="superscript"/>
        </w:rPr>
        <w:t>,</w:t>
      </w:r>
      <w:r>
        <w:t>³⁸ were available for 321 structures. Color classes were assigned by emission wavelength: blue (&lt;460 nm), cyan (460–</w:t>
      </w:r>
      <w:r>
        <w:lastRenderedPageBreak/>
        <w:t>505 nm), green (505–545 nm), yellow (545–575 nm), orange (575–610 nm), red (&gt;610 nm). The complete mapping is provided in Table S1.</w:t>
      </w:r>
    </w:p>
    <w:p w:rsidR="00E87517" w:rsidRDefault="00000000">
      <w:r>
        <w:rPr>
          <w:b/>
          <w:i/>
        </w:rPr>
        <w:t>B-Factor and Contact Analysis.</w:t>
      </w:r>
    </w:p>
    <w:p w:rsidR="00E87517" w:rsidRDefault="00000000">
      <w:pPr>
        <w:ind w:firstLine="720"/>
      </w:pPr>
      <w:r>
        <w:t>For each structure, two atom sets in the analyzed chain were defined: the chromophore set (all non-hydrogen atoms of the non-standard residue identified as the chromophore</w:t>
      </w:r>
      <w:r w:rsidR="00EB3C79">
        <w:t>, i.e.</w:t>
      </w:r>
      <w:r>
        <w:t xml:space="preserve">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sidR="00E87517" w:rsidRDefault="00000000">
      <w:r>
        <w:rPr>
          <w:b/>
          <w:i/>
        </w:rPr>
        <w:t>Statistical Analysis.</w:t>
      </w:r>
    </w:p>
    <w:p w:rsidR="00E87517" w:rsidRDefault="00000000">
      <w:pPr>
        <w:ind w:firstLine="720"/>
      </w:pPr>
      <w: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and τ + φ; plus the five Mann–Whitney chromophore-present </w:t>
      </w:r>
      <w:r>
        <w:lastRenderedPageBreak/>
        <w:t>vs absent tests, the three cis-vs-trans tests, and the three Kruskal–Wallis by color class tests. The complete list with raw and BH-corrected p-values is provided in Table S4; 46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sidR="00E87517" w:rsidRDefault="00000000">
      <w:r>
        <w:rPr>
          <w:b/>
          <w:i/>
        </w:rPr>
        <w:t>AI-Assisted Computation.</w:t>
      </w:r>
    </w:p>
    <w:p w:rsidR="00E87517" w:rsidRDefault="00000000">
      <w:pPr>
        <w:ind w:firstLine="720"/>
      </w:pPr>
      <w:r>
        <w:t xml:space="preserve">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w:t>
      </w:r>
      <w:r w:rsidR="00EB3C79">
        <w:t xml:space="preserve">and other </w:t>
      </w:r>
      <w:r>
        <w:t>failure</w:t>
      </w:r>
      <w:r w:rsidR="00EB3C79">
        <w:t>s</w:t>
      </w:r>
      <w:r>
        <w:t xml:space="preserve"> </w:t>
      </w:r>
      <w:r w:rsidR="00EB3C79">
        <w:t>are</w:t>
      </w:r>
      <w:r>
        <w:t xml:space="preserve"> documented in Note S1. All scientific questions, methodology choices, and interpretations were made by the human authors.</w:t>
      </w:r>
    </w:p>
    <w:p w:rsidR="00E87517" w:rsidRDefault="00000000">
      <w:r>
        <w:rPr>
          <w:b/>
          <w:i/>
        </w:rPr>
        <w:t>AlphaFold Structure Analysis.</w:t>
      </w:r>
    </w:p>
    <w:p w:rsidR="00E87517" w:rsidRDefault="00000000">
      <w:pPr>
        <w:ind w:firstLine="720"/>
      </w:pPr>
      <w:r>
        <w:t xml:space="preserve">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w:t>
      </w:r>
      <w:r>
        <w:lastRenderedPageBreak/>
        <w:t>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rsidR="00E87517" w:rsidRDefault="00E87517"/>
    <w:p w:rsidR="00E87517" w:rsidRDefault="00000000">
      <w:r>
        <w:rPr>
          <w:b/>
          <w:sz w:val="28"/>
        </w:rPr>
        <w:t>Results and Discussion</w:t>
      </w:r>
    </w:p>
    <w:p w:rsidR="00E87517" w:rsidRDefault="00000000">
      <w:r>
        <w:rPr>
          <w:b/>
          <w:i/>
        </w:rPr>
        <w:t>Dataset Composition.</w:t>
      </w:r>
    </w:p>
    <w:p w:rsidR="00E87517" w:rsidRDefault="00000000">
      <w:pPr>
        <w:ind w:firstLine="720"/>
      </w:pPr>
      <w:r>
        <w:t xml:space="preserve">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321. The color class distribution was green (n = 465), red (n = 94), yellow (n = 69), cyan (n = 48), orange (n = 11), and blue (n = 10). The ten blue entries comprise nine Y66H variants identified from their His66-derived chromophore residue codes (IIC, CRG, CSH, XXY; including PDB 1BFP, 1KYP/R/S, 1EMF, 2EMD/N/O, 2FWQ) plus one Tyr-based blue variant (PDB 4ORN, ex/em 380/440 nm).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w:t>
      </w:r>
      <w:r>
        <w:lastRenderedPageBreak/>
        <w:t>Resolution ranged from 0.77 to 3.60 Å (mean 1.86 ± 0.47 Å). Because the PDB contains multiple entries for the same or closely related proteins, the 694 spectrally matched structures correspond to only 74 unique FPbase protein names. The effective sample size for cross-protein comparisons is therefore substantially smaller than the total structure count, and robustness to pseudoreplication is assessed in Table S2.</w:t>
      </w:r>
    </w:p>
    <w:p w:rsidR="00E87517" w:rsidRDefault="00000000">
      <w:pPr>
        <w:ind w:firstLine="720"/>
      </w:pPr>
      <w: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415), red (n = 89), yellow (n = 64), cyan (n = 47), orange (n = 11), and blue (n = 10), and FPbase spectral matches are available for 633 structures (293 with quantum yield data). All subsequent results refer to this canonical cohort unless explicitly stated otherwise.</w:t>
      </w:r>
    </w:p>
    <w:p w:rsidR="00E87517" w:rsidRDefault="00000000">
      <w:r>
        <w:rPr>
          <w:b/>
          <w:i/>
        </w:rPr>
        <w:t>Barrel Geometry.</w:t>
      </w:r>
    </w:p>
    <w:p w:rsidR="00E87517" w:rsidRDefault="00000000">
      <w:pPr>
        <w:ind w:firstLine="720"/>
      </w:pPr>
      <w:r>
        <w:t xml:space="preserve">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w:t>
      </w:r>
    </w:p>
    <w:p w:rsidR="00E87517" w:rsidRDefault="00000000">
      <w:r>
        <w:rPr>
          <w:b/>
          <w:i/>
        </w:rPr>
        <w:t>Chromophore Maturation and Barrel Shape.</w:t>
      </w:r>
    </w:p>
    <w:p w:rsidR="00E87517" w:rsidRDefault="00000000">
      <w:pPr>
        <w:ind w:firstLine="720"/>
      </w:pPr>
      <w:r>
        <w:t xml:space="preserve">Within the canonical cohort, structures with a validated mature chromophore (n = 739) were compared to those without (n = 41). Cross-sectional area did not differ (689 ± 41 vs 691 ± 34 Å², p = 0.62), nor did circularity (0.922 ± 0.020 vs 0.919 ± 0.016, p = 0.25) or eccentricity </w:t>
      </w:r>
      <w:r>
        <w:lastRenderedPageBreak/>
        <w:t>(0.41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sidR="00E87517" w:rsidRDefault="00000000">
      <w:r>
        <w:rPr>
          <w:b/>
          <w:i/>
        </w:rPr>
        <w:t>Barrel Geometry by Emission Color Class.</w:t>
      </w:r>
    </w:p>
    <w:p w:rsidR="00E87517" w:rsidRDefault="00000000">
      <w:pPr>
        <w:ind w:firstLine="720"/>
      </w:pPr>
      <w:r>
        <w:t xml:space="preserve">Barrel geometry varied with emission color class. Eccentricity (Kruskal–Wallis H = 112.2, p = 1.4 × 10⁻²²), minor axis (H = 107.8, p = 1.2 × 10⁻²¹), and circularity (H = 104.2, p = 7.0 × 10⁻²¹) all differed across groups. Red fluorescent proteins had the most elliptical barrels </w:t>
      </w:r>
      <w:r>
        <w:lastRenderedPageBreak/>
        <w:t>and narrowest minor axes; green had the most circular. Emission wavelength correlated with eccentricity (ρ = +0.320, p = 1.6 × 10⁻¹⁶), minor axis (ρ = –0.328, p = 2.2 × 10⁻¹⁷), and circularity (ρ = –0.258, p = 4.2 × 10⁻¹¹). Emission was weakly correlated with the major axis (ρ = +0.176, p = 8.8 × 10⁻⁶) and uncorrelated with barrel length (ρ = –0.027, p = 0.50).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1.6 × 10⁻⁶; eccentricity ρ = +0.49, p = 1.3 × 10⁻⁵; circularity ρ = –0.43, p = 2.0 × 10⁻⁴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sidR="00E87517" w:rsidRDefault="00000000">
      <w:r>
        <w:br w:type="page"/>
      </w:r>
    </w:p>
    <w:p w:rsidR="00E87517" w:rsidRDefault="00F50BE0">
      <w:pPr>
        <w:keepNext/>
        <w:jc w:val="center"/>
      </w:pPr>
      <w:r>
        <w:rPr>
          <w:noProof/>
        </w:rPr>
        <w:lastRenderedPageBreak/>
        <w:drawing>
          <wp:inline distT="0" distB="0" distL="0" distR="0" wp14:anchorId="2142B861" wp14:editId="17A8347D">
            <wp:extent cx="5943600" cy="5476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emission_scatter.png"/>
                    <pic:cNvPicPr/>
                  </pic:nvPicPr>
                  <pic:blipFill>
                    <a:blip r:embed="rId9"/>
                    <a:stretch>
                      <a:fillRect/>
                    </a:stretch>
                  </pic:blipFill>
                  <pic:spPr>
                    <a:xfrm>
                      <a:off x="0" y="0"/>
                      <a:ext cx="5943600" cy="5476240"/>
                    </a:xfrm>
                    <a:prstGeom prst="rect">
                      <a:avLst/>
                    </a:prstGeom>
                  </pic:spPr>
                </pic:pic>
              </a:graphicData>
            </a:graphic>
          </wp:inline>
        </w:drawing>
      </w:r>
    </w:p>
    <w:p w:rsidR="00E87517" w:rsidRDefault="00000000">
      <w:pPr>
        <w:keepLines/>
        <w:spacing w:after="120"/>
      </w:pPr>
      <w:r>
        <w:rPr>
          <w:sz w:val="20"/>
        </w:rPr>
        <w:t>Figure 1. Continuous relationships between barrel geometry and emission wavelength in the canonical cohort (n = 633 structures with FPbase em_max). Each point is one structure, colored by emission class. (A) Minor axis (ρ = –0.328). (B) Eccentricity (ρ = +0.320). (C) Circularity (ρ = –0.258). (D) Major axis (ρ = +0.176). Dashed lines are least-squares fits, included as visual guides; Spearman ρ and p-values are reported in the panels. Red-shifted variants populate the narrower, more elliptical tail of each distribution. The same data summarized by emission color class are shown as bar charts in Figure S1.</w:t>
      </w:r>
    </w:p>
    <w:p w:rsidR="00E87517" w:rsidRDefault="00E87517"/>
    <w:p w:rsidR="00F50BE0" w:rsidRDefault="00F50BE0"/>
    <w:p w:rsidR="00E87517" w:rsidRDefault="00000000">
      <w:r>
        <w:rPr>
          <w:b/>
          <w:i/>
        </w:rPr>
        <w:lastRenderedPageBreak/>
        <w:t>B-Factor Ratio and Quantum Yield.</w:t>
      </w:r>
    </w:p>
    <w:p w:rsidR="00E87517" w:rsidRDefault="00000000">
      <w:pPr>
        <w:ind w:firstLine="720"/>
      </w:pPr>
      <w:r>
        <w:t>The B-factor ratio (chromophore/barrel) was computed for 739 structures in the canonical cohort. The mean ratio was 0.81 ± 0.22; in 86.3% of structures the chromophore was more rigid than the barrel (ratio &lt; 1). The B-factor ratio was the strongest predictor of quantum yield: ρ = –0.446, p = 2.4 × 10⁻¹⁴, n = 265. This correlation survived partial correlation controlling for resolution (partial ρ = –0.481). After collapse to one highest-resolution structure per unique FPbase protein, the same effect size persists (ρ = –0.43) but the small remaining sample loses statistical significance (p = 0.08, n = 18; Table S2); the correlation should therefore be regarded as quantitatively supported by the full canonical cohort but limited by the sparse availability of quantum-yield measurements across unique proteins. The ratio varied by color class: blue 0.66 ± 0.19, cyan 0.70 ± 0.15, green 0.76 ± 0.17, yellow 0.79 ± 0.16, orange 0.88 ± 0.22, red 1.02 ± 0.24. In red fluorescent proteins, the chromophore is on average no more rigid than the barrel.</w:t>
      </w:r>
    </w:p>
    <w:p w:rsidR="00E87517" w:rsidRDefault="00000000" w:rsidP="007739C8">
      <w:pPr>
        <w:ind w:firstLine="720"/>
      </w:pPr>
      <w:r>
        <w:t>The correlation between B-factor ratio and quantum yield is not simply a proxy for emission wavelength. Although emission correlates with the B-factor ratio (ρ = +0.422),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r>
        <w:br w:type="page"/>
      </w:r>
    </w:p>
    <w:p w:rsidR="00E87517" w:rsidRDefault="00000000">
      <w:pPr>
        <w:keepNext/>
        <w:jc w:val="center"/>
      </w:pPr>
      <w:r>
        <w:rPr>
          <w:noProof/>
        </w:rPr>
        <w:lastRenderedPageBreak/>
        <w:drawing>
          <wp:inline distT="0" distB="0" distL="0" distR="0">
            <wp:extent cx="5943600" cy="60321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bfactor.png"/>
                    <pic:cNvPicPr/>
                  </pic:nvPicPr>
                  <pic:blipFill>
                    <a:blip r:embed="rId10"/>
                    <a:stretch>
                      <a:fillRect/>
                    </a:stretch>
                  </pic:blipFill>
                  <pic:spPr>
                    <a:xfrm>
                      <a:off x="0" y="0"/>
                      <a:ext cx="5943600" cy="6032178"/>
                    </a:xfrm>
                    <a:prstGeom prst="rect">
                      <a:avLst/>
                    </a:prstGeom>
                  </pic:spPr>
                </pic:pic>
              </a:graphicData>
            </a:graphic>
          </wp:inline>
        </w:drawing>
      </w:r>
    </w:p>
    <w:p w:rsidR="00E87517" w:rsidRDefault="00000000">
      <w:pPr>
        <w:keepLines/>
        <w:spacing w:after="120"/>
      </w:pPr>
      <w:r>
        <w:rPr>
          <w:sz w:val="20"/>
        </w:rPr>
        <w:t>Figure 2. B-factor ratio analysis (canonical cohort, n = 780). (A) B-factor ratio vs quantum yield (ρ = –0.446). (B) B-factor ratio vs emission wavelength. (C) B-factor ratio by color class: box shows median and IQR with whiskers at 1.5 × IQR; individual structures are overlaid as jittered points; the dashed line at 1.0 indicates equal chromophore and barrel rigidity.</w:t>
      </w:r>
    </w:p>
    <w:p w:rsidR="00E87517" w:rsidRDefault="00E87517"/>
    <w:p w:rsidR="007739C8" w:rsidRDefault="007739C8"/>
    <w:p w:rsidR="00E87517" w:rsidRDefault="00000000">
      <w:r>
        <w:rPr>
          <w:b/>
          <w:i/>
        </w:rPr>
        <w:lastRenderedPageBreak/>
        <w:t>Chromophore–Barrel Contacts.</w:t>
      </w:r>
    </w:p>
    <w:p w:rsidR="00E87517" w:rsidRDefault="00000000">
      <w:pPr>
        <w:ind w:firstLine="720"/>
      </w:pPr>
      <w:r>
        <w:t>Restricting to the 739 chromophore-containing canonical structures, the mean number of (chromophore-atom, scaffold-atom) pairs within 4.0 Å was 133 ± 63 (pair count, not unique scaffold-atom count; see Methods). Pair count correlated with emission wavelength (ρ = +0.202, p = 5.9 × 10⁻⁷, n = 600).</w:t>
      </w:r>
    </w:p>
    <w:p w:rsidR="00E87517" w:rsidRDefault="00000000">
      <w:r>
        <w:rPr>
          <w:b/>
          <w:i/>
        </w:rPr>
        <w:t>Chromophore Dihedral Angles.</w:t>
      </w:r>
    </w:p>
    <w:p w:rsidR="00E87517" w:rsidRDefault="00000000">
      <w:pPr>
        <w:ind w:firstLine="720"/>
      </w:pPr>
      <w:r>
        <w:t xml:space="preserve">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quantum yield (|τ|: ρ = –0.246, p = 1.9 × 10⁻⁴; |φ|: ρ = –0.204, p = 0.002), and B-factor ratio (|τ|: ρ = +0.158; |φ|: ρ = +0.155). The sum τ + φ was the strongest dihedral predictor of emission (ρ = –0.312, p = 1.0 × 10⁻¹²) and quantum yield (ρ = +0.281, p = 1.9 × 10⁻⁵). We note that τ + φ is used here as a descriptive algebraic sum of two static crystallographic dihedral angles, not in the mechanistic sense of the hula-twist photoisomerization pathway.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w:t>
      </w:r>
      <w:r>
        <w:lastRenderedPageBreak/>
        <w:t>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sidR="00E87517" w:rsidRDefault="00000000">
      <w:r>
        <w:rPr>
          <w:b/>
          <w:i/>
        </w:rPr>
        <w:t>Resolution Confound and Barrel Size.</w:t>
      </w:r>
    </w:p>
    <w:p w:rsidR="00E87517" w:rsidRDefault="00000000">
      <w:pPr>
        <w:ind w:firstLine="720"/>
      </w:pPr>
      <w: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+0.321), emission vs minor axis (partial ρ = –0.327), and QY vs B-factor ratio (partial ρ = –0.481).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sidR="007739C8" w:rsidRDefault="007739C8">
      <w:pPr>
        <w:ind w:firstLine="720"/>
      </w:pPr>
    </w:p>
    <w:p w:rsidR="00E87517" w:rsidRDefault="00000000">
      <w:r>
        <w:rPr>
          <w:b/>
          <w:i/>
        </w:rPr>
        <w:lastRenderedPageBreak/>
        <w:t>Stokes Shift and Barrel Geometry.</w:t>
      </w:r>
    </w:p>
    <w:p w:rsidR="00E87517" w:rsidRDefault="00000000">
      <w:pPr>
        <w:ind w:firstLine="720"/>
      </w:pPr>
      <w: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41.0 ± 36.4 nm (n = 89, very high variance reflecting a mix of standard and large-Stokes-shift red FPs), cyan 37.9 ± 4.4 nm (n = 47), green 19.5 ± 9.6 nm (n = 415), orange 16.6 ± 8.7 nm (n = 11), and yellow 13.3 ± 1.3 nm (n = 64). Stokes shift correlated negatively with quantum yield (ρ = –0.436, p = 5.2 × 10⁻¹⁵, n = 293), consistent with the interpretation that greater excited-state reorganization energy competes with radiative decay.</w:t>
      </w:r>
    </w:p>
    <w:p w:rsidR="00E87517" w:rsidRDefault="00000000">
      <w:pPr>
        <w:ind w:firstLine="720"/>
      </w:pPr>
      <w:r>
        <w:t>Stokes shift correlated significantly with barrel shape: proteins with larger Stokes shifts reside in more elliptical barrels (eccentricity: ρ = +0.123, p = 0.002), with narrower minor axes (minor axis: ρ = –0.128, p = 0.001), lower circularity (ρ = –0.142, p &lt; 0.001), and shorter barrel length (ρ = –0.122, p = 0.002).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sidR="00E87517" w:rsidRDefault="00000000">
      <w:r>
        <w:rPr>
          <w:b/>
          <w:i/>
        </w:rPr>
        <w:t>Multivariate Analysis.</w:t>
      </w:r>
    </w:p>
    <w:p w:rsidR="00E87517" w:rsidRDefault="00000000">
      <w:pPr>
        <w:ind w:firstLine="720"/>
      </w:pPr>
      <w:r>
        <w:t xml:space="preserve">To disentangle the contributions of correlated predictors, multiple linear regression was performed with quantum yield as the response variable. A model including eccentricity, minor </w:t>
      </w:r>
      <w:r>
        <w:lastRenderedPageBreak/>
        <w:t>axis, B-factor ratio, and |τ| yielded R² = 0.41 (n = 225). Standardized regression coefficients show that the B-factor ratio is the dominant</w:t>
      </w:r>
      <w:r w:rsidR="00645518">
        <w:t xml:space="preserve">, </w:t>
      </w:r>
      <w:r>
        <w:t>and only</w:t>
      </w:r>
      <w:r w:rsidR="00645518">
        <w:t>,</w:t>
      </w:r>
      <w:r>
        <w:t xml:space="preserve"> independently significant geometric predictor (β = –0.563, p = 2 × 10⁻²⁰); eccentricity (β = –0.093, p = 0.24), minor axis (β = +0.082, p = 0.32), and |τ| (β = –0.020, p = 0.71) were not significant after controlling for the other predictors. This indicates that the bivariate correlations between barrel shape and quantum yield are mediated almost entirely through chromophore rigidity.</w:t>
      </w:r>
    </w:p>
    <w:p w:rsidR="00E87517" w:rsidRDefault="00000000">
      <w:pPr>
        <w:ind w:firstLine="720"/>
      </w:pPr>
      <w: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rsidR="00E87517" w:rsidRDefault="00000000">
      <w:pPr>
        <w:ind w:firstLine="720"/>
      </w:pPr>
      <w:r>
        <w:t>A Random Forest model (500 trees, bootstrap aggregation) predicting quantum yield achieved out-of-bag R² = 0.42, with B-factor ratio as the dominant feature (importance = 0.499). The nonlinear model’s improved performance suggests that interactions among predictors contribute to quantum yield determination beyond what linear models capture.</w:t>
      </w:r>
    </w:p>
    <w:p w:rsidR="00E87517" w:rsidRDefault="00000000">
      <w:r>
        <w:rPr>
          <w:b/>
          <w:i/>
        </w:rPr>
        <w:t xml:space="preserve">Implications for </w:t>
      </w:r>
      <w:r w:rsidR="00645518">
        <w:rPr>
          <w:b/>
          <w:i/>
        </w:rPr>
        <w:t xml:space="preserve">Protein </w:t>
      </w:r>
      <w:r>
        <w:rPr>
          <w:b/>
          <w:i/>
        </w:rPr>
        <w:t>Engineering.</w:t>
      </w:r>
    </w:p>
    <w:p w:rsidR="00E87517" w:rsidRDefault="00000000">
      <w:pPr>
        <w:ind w:firstLine="720"/>
      </w:pPr>
      <w:r>
        <w:t xml:space="preserve">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w:t>
      </w:r>
      <w:r>
        <w:lastRenderedPageBreak/>
        <w:t>eccentricity could flag variants that are candidates for improvement, though other factors (chromophore chemistry, protonation state, excited-state dynamics) will also be important. The engineering successes of mTurquoise</w:t>
      </w:r>
      <w:proofErr w:type="gramStart"/>
      <w:r>
        <w:t>2,¹</w:t>
      </w:r>
      <w:proofErr w:type="gramEnd"/>
      <w:r>
        <w:t>⁷ StayGold,⁴¹ and YuzuFP²⁸</w:t>
      </w:r>
      <w:r w:rsidR="00EE169A">
        <w:t xml:space="preserve">, </w:t>
      </w:r>
      <w:r>
        <w:t>each achieved through mutations altering chromophore–barrel packing</w:t>
      </w:r>
      <w:r w:rsidR="00EE169A">
        <w:t xml:space="preserve">, </w:t>
      </w:r>
      <w:r>
        <w:t>are consistent with these hypotheses but do not constitute a prospective test of them.</w:t>
      </w:r>
    </w:p>
    <w:p w:rsidR="00E87517" w:rsidRDefault="00000000">
      <w:r>
        <w:rPr>
          <w:b/>
          <w:i/>
        </w:rPr>
        <w:t>AlphaFold Structural Predictions.</w:t>
      </w:r>
    </w:p>
    <w:p w:rsidR="00E87517" w:rsidRDefault="00000000">
      <w:pPr>
        <w:ind w:firstLine="720"/>
      </w:pPr>
      <w:r>
        <w:t xml:space="preserve">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w:t>
      </w:r>
      <w:r>
        <w:lastRenderedPageBreak/>
        <w:t>predicted structure: the chromophore-forming residues are output as the uncyclized Ser–Tyr–Gly precursor. The barrel cross-section is therefore reproduced from sequence information alone.</w:t>
      </w:r>
    </w:p>
    <w:p w:rsidR="00E87517" w:rsidRDefault="00000000">
      <w:pPr>
        <w:ind w:firstLine="720"/>
      </w:pPr>
      <w: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w:t>
      </w:r>
      <w:r w:rsidR="004D4694">
        <w:t>,</w:t>
      </w:r>
      <w:r>
        <w:t xml:space="preserve"> AlphaFold area is only 11 Å² larger than the crystal mean (700 ± 49 vs 689 ± 41 Å², p = 1.5 × 10⁻⁴)</w:t>
      </w:r>
      <w:r w:rsidR="004D4694">
        <w:t>,</w:t>
      </w:r>
      <w:r>
        <w:t xml:space="preserve">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sidR="00E87517" w:rsidRDefault="00000000">
      <w:r>
        <w:rPr>
          <w:b/>
          <w:i/>
        </w:rPr>
        <w:t>Limitations</w:t>
      </w:r>
      <w:r w:rsidR="004D4694">
        <w:rPr>
          <w:b/>
          <w:i/>
        </w:rPr>
        <w:t xml:space="preserve"> of This Study</w:t>
      </w:r>
      <w:r>
        <w:rPr>
          <w:b/>
          <w:i/>
        </w:rPr>
        <w:t>.</w:t>
      </w:r>
    </w:p>
    <w:p w:rsidR="00E87517" w:rsidRDefault="00000000">
      <w:pPr>
        <w:ind w:firstLine="720"/>
      </w:pPr>
      <w:r>
        <w:lastRenderedPageBreak/>
        <w:t>The canonical cohort is unevenly distributed (green n = 415, blue and orange ≤ 11), the 780 entries are not fully independent (633 spectrally matched entries correspond to only 70 unique FPbase names), and the PDB itself is not a random sample of all FPs</w:t>
      </w:r>
      <w:r w:rsidR="004D4694">
        <w:t xml:space="preserve">, </w:t>
      </w:r>
      <w:r>
        <w:t xml:space="preserve">heavily studied variants such as GFP and </w:t>
      </w:r>
      <w:proofErr w:type="spellStart"/>
      <w:r>
        <w:t>mCherry</w:t>
      </w:r>
      <w:proofErr w:type="spellEnd"/>
      <w:r>
        <w:t xml:space="preserve"> are overrepresented</w:t>
      </w:r>
      <w:r w:rsidR="004D4694">
        <w:t>,</w:t>
      </w:r>
      <w:r>
        <w:t xml:space="preserve"> while many natural and engineered FPs have no deposited structure. These pseudoreplication and selection issues are partially addressed by the unique-protein collapse (Table S2), which preserves the principal correlations, but the generalizability to FPs outside the crystallized subset remains to be established. Crystal-lattice contacts impose non-physiological forces that can distort eccentricity, particularly for proteins crystallized in multiple space groups.</w:t>
      </w:r>
    </w:p>
    <w:p w:rsidR="00E87517" w:rsidRDefault="00000000">
      <w:pPr>
        <w:ind w:firstLine="720"/>
      </w:pPr>
      <w:r>
        <w:t>Crystallographic B-factors are influenced by resolution, refinement protocol, occupancy, TLS treatment, and packing as well as genuine mobility. The B-factor ratio normalizes within each structure and survives partial correlation controlling for resolution (partial ρ = –0.481),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rsidR="00E87517" w:rsidRDefault="00E87517"/>
    <w:p w:rsidR="00E87517" w:rsidRDefault="00000000">
      <w:r>
        <w:rPr>
          <w:b/>
          <w:sz w:val="28"/>
        </w:rPr>
        <w:t>Conclusions</w:t>
      </w:r>
    </w:p>
    <w:p w:rsidR="00E87517" w:rsidRDefault="00000000">
      <w:pPr>
        <w:ind w:firstLine="720"/>
      </w:pPr>
      <w:r>
        <w:t xml:space="preserve">Across a canonical cohort of 780 fluorescent protein crystal structures, beta-barrel geometry varies systematically with photophysical output. Barrel shape, not size, tracks emission </w:t>
      </w:r>
      <w:r>
        <w:lastRenderedPageBreak/>
        <w:t>wavelength: red-shifted variants are narrower and more elliptical, while cross-sectional area and barrel length are largely uninformative. The chromophore-to-barrel B-factor ratio is the strongest single predictor of quantum yield (ρ = –0.446, partial ρ = –0.481 controlling for resolution) and multivariate analysis indicates that it mediates most of the bivariate correlations between barrel shape and quantum yield. Chromophore dihedral twist correlates with both barrel eccentricity and quantum yield,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rsidR="00E87517" w:rsidRDefault="00000000">
      <w:pPr>
        <w:ind w:firstLine="720"/>
      </w:pPr>
      <w: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rsidR="00E87517" w:rsidRDefault="00E87517"/>
    <w:p w:rsidR="00E87517" w:rsidRDefault="00000000">
      <w:r>
        <w:rPr>
          <w:b/>
          <w:sz w:val="28"/>
        </w:rPr>
        <w:t>Author Information</w:t>
      </w:r>
    </w:p>
    <w:p w:rsidR="00E87517" w:rsidRDefault="00000000">
      <w:r>
        <w:rPr>
          <w:b/>
          <w:i/>
        </w:rPr>
        <w:lastRenderedPageBreak/>
        <w:t>Corresponding Author.</w:t>
      </w:r>
    </w:p>
    <w:p w:rsidR="00E87517" w:rsidRDefault="00000000">
      <w:pPr>
        <w:ind w:firstLine="720"/>
      </w:pPr>
      <w:r>
        <w:t xml:space="preserve">Marc Zimmer — Chemistry Department, Connecticut College, New London, CT 06320, United States. ORCID: </w:t>
      </w:r>
      <w:hyperlink r:id="rId11" w:history="1">
        <w:r w:rsidR="004848B1" w:rsidRPr="004848B1">
          <w:rPr>
            <w:rStyle w:val="Hyperlink"/>
          </w:rPr>
          <w:t>0000-0001-8460-9064</w:t>
        </w:r>
      </w:hyperlink>
      <w:r>
        <w:t>. *E-mail: mzim@conncoll.edu.</w:t>
      </w:r>
    </w:p>
    <w:p w:rsidR="00E87517" w:rsidRDefault="00000000">
      <w:r>
        <w:rPr>
          <w:b/>
          <w:i/>
        </w:rPr>
        <w:t>Authors.</w:t>
      </w:r>
    </w:p>
    <w:p w:rsidR="00E87517" w:rsidRDefault="00000000">
      <w:pPr>
        <w:ind w:firstLine="720"/>
      </w:pPr>
      <w:r>
        <w:t xml:space="preserve">Luke P. Begg — Chemistry Department, Connecticut College, New London, CT 06320, United States. </w:t>
      </w:r>
    </w:p>
    <w:p w:rsidR="00E87517" w:rsidRDefault="00000000">
      <w:pPr>
        <w:ind w:firstLine="720"/>
      </w:pPr>
      <w:r>
        <w:t xml:space="preserve">Madeline L. Mason — Chemistry Department, Connecticut College, New London, CT 06320, United States. </w:t>
      </w:r>
    </w:p>
    <w:p w:rsidR="00E87517" w:rsidRDefault="00000000">
      <w:r>
        <w:rPr>
          <w:b/>
          <w:i/>
        </w:rPr>
        <w:t>Author Contributions.</w:t>
      </w:r>
    </w:p>
    <w:p w:rsidR="004848B1" w:rsidRDefault="00000000">
      <w:pPr>
        <w:ind w:firstLine="720"/>
      </w:pPr>
      <w:r>
        <w:t xml:space="preserve">L.P.B. designed and implemented the computational pipeline (CIF parsing, PCA-based barrel axis determination, cross-sectional slicing, convex-hull and ellipse-fit geometry, B-factor and contact analysis, dihedral computation, AlphaFold comparison, and statistical analysis), curated the dataset, </w:t>
      </w:r>
      <w:r w:rsidR="004848B1">
        <w:t xml:space="preserve">and </w:t>
      </w:r>
      <w:r>
        <w:t xml:space="preserve">generated the figures. </w:t>
      </w:r>
    </w:p>
    <w:p w:rsidR="004848B1" w:rsidRDefault="00000000">
      <w:pPr>
        <w:ind w:firstLine="720"/>
      </w:pPr>
      <w:r>
        <w:t xml:space="preserve">M.L.M. compiled the FPbase UniProt sequence list used for the AlphaFold comparison, performed independent validation of the geometric pipeline, and contributed to manuscript revision. </w:t>
      </w:r>
    </w:p>
    <w:p w:rsidR="00E87517" w:rsidRDefault="00000000">
      <w:pPr>
        <w:ind w:firstLine="720"/>
      </w:pPr>
      <w:r>
        <w:t xml:space="preserve">M.Z. </w:t>
      </w:r>
      <w:r w:rsidR="004848B1">
        <w:t xml:space="preserve">conceived </w:t>
      </w:r>
      <w:r w:rsidR="004848B1">
        <w:t xml:space="preserve">and </w:t>
      </w:r>
      <w:r>
        <w:t xml:space="preserve">supervised the project, contributed to its conception and interpretation, </w:t>
      </w:r>
      <w:r w:rsidR="004848B1">
        <w:t xml:space="preserve">check the LLM, </w:t>
      </w:r>
      <w:r>
        <w:t>and</w:t>
      </w:r>
      <w:r w:rsidR="004848B1">
        <w:t xml:space="preserve"> </w:t>
      </w:r>
      <w:r w:rsidR="004848B1">
        <w:t>wrote the original draft</w:t>
      </w:r>
      <w:r>
        <w:t>. All authors have given approval to the final version of the manuscript.</w:t>
      </w:r>
    </w:p>
    <w:p w:rsidR="00E87517" w:rsidRDefault="00000000">
      <w:r>
        <w:rPr>
          <w:b/>
          <w:i/>
        </w:rPr>
        <w:t>Notes.</w:t>
      </w:r>
    </w:p>
    <w:p w:rsidR="00E87517" w:rsidRDefault="00000000">
      <w:pPr>
        <w:ind w:firstLine="720"/>
      </w:pPr>
      <w:r>
        <w:t>The authors declare no competing financial interest.</w:t>
      </w:r>
    </w:p>
    <w:p w:rsidR="00E87517" w:rsidRDefault="00E87517"/>
    <w:p w:rsidR="004848B1" w:rsidRDefault="004848B1"/>
    <w:p w:rsidR="00E87517" w:rsidRDefault="00000000">
      <w:r>
        <w:rPr>
          <w:b/>
          <w:sz w:val="28"/>
        </w:rPr>
        <w:lastRenderedPageBreak/>
        <w:t>References</w:t>
      </w:r>
    </w:p>
    <w:p w:rsidR="00E87517" w:rsidRDefault="00000000">
      <w:pPr>
        <w:spacing w:line="360" w:lineRule="auto"/>
        <w:ind w:left="720" w:hanging="720"/>
      </w:pPr>
      <w:r>
        <w:rPr>
          <w:sz w:val="20"/>
        </w:rPr>
        <w:t>(1) Shimomura, O.; Johnson, F. H.; Saiga, Y. Extraction, Purification and Properties of Aequorin, a Bioluminescent Protein from the Luminous Hydromedusan, Aequorea. J. Cell. Comp. Physiol. 1962, 59, 223–239.</w:t>
      </w:r>
    </w:p>
    <w:p w:rsidR="00E87517" w:rsidRDefault="00000000">
      <w:pPr>
        <w:spacing w:line="360" w:lineRule="auto"/>
        <w:ind w:left="720" w:hanging="720"/>
      </w:pPr>
      <w:r>
        <w:rPr>
          <w:sz w:val="20"/>
        </w:rPr>
        <w:t>(2) Stepanenko, O. V.; Verkhusha, V. V.; Kuznetsova, I. M.; Uversky, V. N.; Turoverov, K. K. Fluorescent Proteins as Biomarkers and Biosensors: Throwing Color Lights on Molecular and Cellular Processes. Curr. Protein Pept. Sci. 2008, 9, 338–369.</w:t>
      </w:r>
    </w:p>
    <w:p w:rsidR="00E87517" w:rsidRDefault="00000000">
      <w:pPr>
        <w:spacing w:line="360" w:lineRule="auto"/>
        <w:ind w:left="720" w:hanging="720"/>
      </w:pPr>
      <w:r>
        <w:rPr>
          <w:sz w:val="20"/>
        </w:rPr>
        <w:t>(3) Chalfie, M.; Tu, Y.; Euskirchen, G.; Ward, W. W.; Prasher, D. C. Green Fluorescent Protein as a Marker for Gene Expression. Science 1994, 263, 802–805.</w:t>
      </w:r>
    </w:p>
    <w:p w:rsidR="00E87517" w:rsidRDefault="00000000">
      <w:pPr>
        <w:spacing w:line="360" w:lineRule="auto"/>
        <w:ind w:left="720" w:hanging="720"/>
      </w:pPr>
      <w:r>
        <w:rPr>
          <w:sz w:val="20"/>
        </w:rPr>
        <w:t>(4) The Nobel Foundation. The Nobel Prize in Chemistry 2008. https://www.nobelprize.org/prizes/chemistry/2008/ (accessed 2026-04-07).</w:t>
      </w:r>
    </w:p>
    <w:p w:rsidR="00E87517" w:rsidRDefault="00000000">
      <w:pPr>
        <w:spacing w:line="360" w:lineRule="auto"/>
        <w:ind w:left="720" w:hanging="720"/>
      </w:pPr>
      <w:r>
        <w:rPr>
          <w:sz w:val="20"/>
        </w:rPr>
        <w:t>(5) Tsien, R. Y. The Green Fluorescent Protein. Annu. Rev. Biochem. 1998, 67, 509–544.</w:t>
      </w:r>
    </w:p>
    <w:p w:rsidR="00E87517" w:rsidRDefault="00000000">
      <w:pPr>
        <w:spacing w:line="360" w:lineRule="auto"/>
        <w:ind w:left="720" w:hanging="720"/>
      </w:pPr>
      <w:r>
        <w:rPr>
          <w:sz w:val="20"/>
        </w:rPr>
        <w:t>(6) Day, R. N.; Davidson, M. W. The Fluorescent Protein Palette: Tools for Cellular Imaging. Chem. Soc. Rev. 2009, 38, 2887–2921.</w:t>
      </w:r>
    </w:p>
    <w:p w:rsidR="00E87517" w:rsidRDefault="00000000">
      <w:pPr>
        <w:spacing w:line="360" w:lineRule="auto"/>
        <w:ind w:left="720" w:hanging="720"/>
      </w:pPr>
      <w:r>
        <w:rPr>
          <w:sz w:val="20"/>
        </w:rPr>
        <w:t>(7) Rodriguez, E. A.; Campbell, R. E.; Lin, J. Y.; Lin, M. Z.; Miyawaki, A.; Palmer, A. E.; Shu, X.; Zhang, J.; Tsien, R. Y. The Growing and Glowing Toolbox of Fluorescent and Photoactive Proteins. Trends Biochem. Sci. 2017, 42, 111–129.</w:t>
      </w:r>
    </w:p>
    <w:p w:rsidR="00E87517" w:rsidRDefault="00000000">
      <w:pPr>
        <w:spacing w:line="360" w:lineRule="auto"/>
        <w:ind w:left="720" w:hanging="720"/>
      </w:pPr>
      <w:r>
        <w:rPr>
          <w:sz w:val="20"/>
        </w:rPr>
        <w:t>(8) Ormö, M.; Cubitt, A. B.; Kallio, K.; Gross, L. A.; Tsien, R. Y.; Remington, S. J. Crystal Structure of the Aequorea victoria Green Fluorescent Protein. Science 1996, 273, 1392–1395.</w:t>
      </w:r>
    </w:p>
    <w:p w:rsidR="00E87517" w:rsidRDefault="00000000">
      <w:pPr>
        <w:spacing w:line="360" w:lineRule="auto"/>
        <w:ind w:left="720" w:hanging="720"/>
      </w:pPr>
      <w:r>
        <w:rPr>
          <w:sz w:val="20"/>
        </w:rPr>
        <w:t>(9) Yang, F.; Moss, L. G.; Phillips, G. N., Jr. The Molecular Structure of Green Fluorescent Protein. Nat. Biotechnol. 1996, 14, 1246–1251.</w:t>
      </w:r>
    </w:p>
    <w:p w:rsidR="00E87517" w:rsidRDefault="00000000">
      <w:pPr>
        <w:spacing w:line="360" w:lineRule="auto"/>
        <w:ind w:left="720" w:hanging="720"/>
      </w:pPr>
      <w:r>
        <w:rPr>
          <w:sz w:val="20"/>
        </w:rPr>
        <w:t>(10) Heim, R.; Cubitt, A. B.; Tsien, R. Y. Improved Green Fluorescence. Nature 1995, 373, 663–664.</w:t>
      </w:r>
    </w:p>
    <w:p w:rsidR="00E87517" w:rsidRDefault="00000000">
      <w:pPr>
        <w:spacing w:line="360" w:lineRule="auto"/>
        <w:ind w:left="720" w:hanging="720"/>
      </w:pPr>
      <w:r>
        <w:rPr>
          <w:sz w:val="20"/>
        </w:rPr>
        <w:t>(11) Cubitt, A. B.; Heim, R.; Adams, S. R.; Boyd, A. E.; Gross, L. A.; Tsien, R. Y. Understanding, Improving and Using Green Fluorescent Proteins. Trends Biochem. Sci. 1995, 20, 448–455.</w:t>
      </w:r>
    </w:p>
    <w:p w:rsidR="00E87517" w:rsidRDefault="00000000">
      <w:pPr>
        <w:spacing w:line="360" w:lineRule="auto"/>
        <w:ind w:left="720" w:hanging="720"/>
      </w:pPr>
      <w:r>
        <w:rPr>
          <w:sz w:val="20"/>
        </w:rPr>
        <w:t>(12) Matz, M. V.; Fradkov, A. F.; Labas, Y. A.; Savitsky, A. P.; Zaraisky, A. G.; Markelov, M. L.; Lukyanov, S. A. Fluorescent Proteins from Nonbioluminescent Anthozoa Species. Nat. Biotechnol. 1999, 17, 969–973.</w:t>
      </w:r>
    </w:p>
    <w:p w:rsidR="00E87517" w:rsidRDefault="00000000">
      <w:pPr>
        <w:spacing w:line="360" w:lineRule="auto"/>
        <w:ind w:left="720" w:hanging="720"/>
      </w:pPr>
      <w:r>
        <w:rPr>
          <w:sz w:val="20"/>
        </w:rPr>
        <w:t>(13) Stepanenko, O. V.; Kuznetsova, I. M.; Verkhusha, V. V.; Turoverov, K. K. Beta-Barrel Scaffold of Fluorescent Proteins: Folding, Stability and Role in Chromophore Formation. Int. Rev. Cell Mol. Biol. 2013, 302, 221–278.</w:t>
      </w:r>
    </w:p>
    <w:p w:rsidR="00E87517" w:rsidRDefault="00000000">
      <w:pPr>
        <w:spacing w:line="360" w:lineRule="auto"/>
        <w:ind w:left="720" w:hanging="720"/>
      </w:pPr>
      <w:r>
        <w:rPr>
          <w:sz w:val="20"/>
        </w:rPr>
        <w:t>(14) Heim, R.; Tsien, R. Y. Engineering Green Fluorescent Protein for Improved Brightness, Longer Wavelengths and Fluorescence Resonance Energy Transfer. Curr. Biol. 1996, 6, 178–182.</w:t>
      </w:r>
    </w:p>
    <w:p w:rsidR="00E87517" w:rsidRDefault="00000000">
      <w:pPr>
        <w:spacing w:line="360" w:lineRule="auto"/>
        <w:ind w:left="720" w:hanging="720"/>
      </w:pPr>
      <w:r>
        <w:rPr>
          <w:sz w:val="20"/>
        </w:rPr>
        <w:t>(15) Wachter, R. M.; Elsliger, M. A.; Kallio, K.; Hanson, G. T.; Remington, S. J. Structural Basis of Spectral Shifts in the Yellow-Emission Variants of Green Fluorescent Protein. Structure 1998, 6, 1267–1277.</w:t>
      </w:r>
    </w:p>
    <w:p w:rsidR="00E87517" w:rsidRDefault="00000000">
      <w:pPr>
        <w:spacing w:line="360" w:lineRule="auto"/>
        <w:ind w:left="720" w:hanging="720"/>
      </w:pPr>
      <w:r>
        <w:rPr>
          <w:sz w:val="20"/>
        </w:rPr>
        <w:t>(16) Gross, L. A.; Baird, G. S.; Hoffman, R. C.; Baldridge, K. K.; Tsien, R. Y. The Structure of the Chromophore within DsRed, a Red Fluorescent Protein from Coral. Proc. Natl. Acad. Sci. U.S.A. 2000, 97, 11990–11995.</w:t>
      </w:r>
    </w:p>
    <w:p w:rsidR="00E87517" w:rsidRDefault="00000000">
      <w:pPr>
        <w:spacing w:line="360" w:lineRule="auto"/>
        <w:ind w:left="720" w:hanging="720"/>
      </w:pPr>
      <w:r>
        <w:rPr>
          <w:sz w:val="20"/>
        </w:rPr>
        <w:lastRenderedPageBreak/>
        <w:t>(17) Goedhart, J.; von Stetten, D.; Noirclerc-Savoye, M.; Lelimousin, M.; Joosen, L.; Hink, M. A.; van Weeren, L.; Gadella, T. W. J., Jr.; Royant, A. Structure-Guided Evolution of Cyan Fluorescent Proteins towards a Quantum Yield of 93%. Nat. Commun. 2012, 3, 751.</w:t>
      </w:r>
    </w:p>
    <w:p w:rsidR="00E87517" w:rsidRDefault="00000000">
      <w:pPr>
        <w:spacing w:line="360" w:lineRule="auto"/>
        <w:ind w:left="720" w:hanging="720"/>
      </w:pPr>
      <w:r>
        <w:rPr>
          <w:sz w:val="20"/>
        </w:rPr>
        <w:t>(18) Ai, H. W.; Henderson, J. N.; Remington, S. J.; Campbell, R. E. Directed Evolution of a Monomeric, Bright and Photostable Version of Clavularia Cyan Fluorescent Protein. Biochem. J. 2006, 400, 531–540.</w:t>
      </w:r>
    </w:p>
    <w:p w:rsidR="00E87517" w:rsidRDefault="00000000">
      <w:pPr>
        <w:spacing w:line="360" w:lineRule="auto"/>
        <w:ind w:left="720" w:hanging="720"/>
      </w:pPr>
      <w:r>
        <w:rPr>
          <w:sz w:val="20"/>
        </w:rPr>
        <w:t>(19) Davidson, M. W.; Campbell, R. E. Engineered Fluorescent Proteins: Innovations and Applications. Nat. Methods 2009, 6, 713–717.</w:t>
      </w:r>
    </w:p>
    <w:p w:rsidR="00E87517" w:rsidRDefault="00000000">
      <w:pPr>
        <w:spacing w:line="360" w:lineRule="auto"/>
        <w:ind w:left="720" w:hanging="720"/>
      </w:pPr>
      <w:r>
        <w:rPr>
          <w:sz w:val="20"/>
        </w:rPr>
        <w:t>(20) Shaner, N. C.; Steinbach, P. A.; Tsien, R. Y. A Guide to Choosing Fluorescent Proteins. Nat. Methods 2005, 2, 905–909.</w:t>
      </w:r>
    </w:p>
    <w:p w:rsidR="00E87517" w:rsidRDefault="00000000">
      <w:pPr>
        <w:spacing w:line="360" w:lineRule="auto"/>
        <w:ind w:left="720" w:hanging="720"/>
      </w:pPr>
      <w:r>
        <w:rPr>
          <w:sz w:val="20"/>
        </w:rPr>
        <w:t>(21) Remington, S. J. Fluorescent Proteins: Maturation, Photochemistry and Photophysics. Curr. Opin. Struct. Biol. 2006, 16, 714–721.</w:t>
      </w:r>
    </w:p>
    <w:p w:rsidR="00E87517" w:rsidRDefault="00000000">
      <w:pPr>
        <w:spacing w:line="360" w:lineRule="auto"/>
        <w:ind w:left="720" w:hanging="720"/>
      </w:pPr>
      <w:r>
        <w:rPr>
          <w:sz w:val="20"/>
        </w:rPr>
        <w:t>(22) Craggs, T. D. Green Fluorescent Protein: Structure, Folding and Chromophore Maturation. Chem. Soc. Rev. 2009, 38, 2865–2875.</w:t>
      </w:r>
    </w:p>
    <w:p w:rsidR="00E87517" w:rsidRDefault="00000000">
      <w:pPr>
        <w:spacing w:line="360" w:lineRule="auto"/>
        <w:ind w:left="720" w:hanging="720"/>
      </w:pPr>
      <w:r>
        <w:rPr>
          <w:sz w:val="20"/>
        </w:rPr>
        <w:t>(23) Zimmer, M. Green Fluorescent Protein (GFP): Applications, Structure, and Related Photophysical Behavior. Chem. Rev. 2002, 102, 759–781.</w:t>
      </w:r>
    </w:p>
    <w:p w:rsidR="00E87517" w:rsidRDefault="00000000">
      <w:pPr>
        <w:spacing w:line="360" w:lineRule="auto"/>
        <w:ind w:left="720" w:hanging="720"/>
      </w:pPr>
      <w:r>
        <w:rPr>
          <w:sz w:val="20"/>
        </w:rPr>
        <w:t>(24) Li, B.; Shahid, R.; Peshkepija, P.; Zimmer, M. Water Diffusion In and Out of the Beta-Barrel of GFP and the Fast Maturing Fluorescent Protein, TurboGFP. Chem. Phys. 2012, 392, 143–148.</w:t>
      </w:r>
    </w:p>
    <w:p w:rsidR="00E87517" w:rsidRDefault="00000000">
      <w:pPr>
        <w:spacing w:line="360" w:lineRule="auto"/>
        <w:ind w:left="720" w:hanging="720"/>
      </w:pPr>
      <w:r>
        <w:rPr>
          <w:sz w:val="20"/>
        </w:rPr>
        <w:t>(25) Zimmer, M. H.; Li, B.; Shahid, R. S.; Peshkepija, P.; Zimmer, M. Structural Consequences of Chromophore Formation and Exploration of Conserved Lid Residues amongst Naturally Occurring Fluorescent Proteins. Chem. Phys. 2014, 429, 5–11.</w:t>
      </w:r>
    </w:p>
    <w:p w:rsidR="00E87517" w:rsidRDefault="00000000">
      <w:pPr>
        <w:spacing w:line="360" w:lineRule="auto"/>
        <w:ind w:left="720" w:hanging="720"/>
      </w:pPr>
      <w:r>
        <w:rPr>
          <w:sz w:val="20"/>
        </w:rPr>
        <w:t>(26) Nwafor, J.; Salguero, C.; Welcome, F.; Durmus, S.; Glasser, R. N.; Zimmer, M.; Schneider, T. L. Why Are Gly31, Gly33, and Gly35 Highly Conserved in All Fluorescent Proteins? Biochemistry 2021, 60, 3762–3770.</w:t>
      </w:r>
    </w:p>
    <w:p w:rsidR="00E87517" w:rsidRDefault="00000000">
      <w:pPr>
        <w:spacing w:line="360" w:lineRule="auto"/>
        <w:ind w:left="720" w:hanging="720"/>
      </w:pPr>
      <w:r>
        <w:rPr>
          <w:sz w:val="20"/>
        </w:rPr>
        <w:t>(27) Megley, C. M.; Dickson, L. A.; Maddalo, S. L.; Chandler, G. J.; Zimmer, M. Photophysics and Dihedral Freedom of the Chromophore in Yellow, Blue, and Green Fluorescent Protein. J. Phys. Chem. B 2009, 113, 302–308.</w:t>
      </w:r>
    </w:p>
    <w:p w:rsidR="00E87517" w:rsidRDefault="00000000">
      <w:pPr>
        <w:spacing w:line="360" w:lineRule="auto"/>
        <w:ind w:left="720" w:hanging="720"/>
      </w:pPr>
      <w:r>
        <w:rPr>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rsidR="00E87517" w:rsidRDefault="00000000">
      <w:pPr>
        <w:spacing w:line="360" w:lineRule="auto"/>
        <w:ind w:left="720" w:hanging="720"/>
      </w:pPr>
      <w:r>
        <w:rPr>
          <w:sz w:val="20"/>
        </w:rPr>
        <w:t>(29) Anthropic. Claude Code. https://docs.anthropic.com/en/docs/claude-code (accessed 2026-04-07).</w:t>
      </w:r>
    </w:p>
    <w:p w:rsidR="00E87517" w:rsidRDefault="00000000">
      <w:pPr>
        <w:spacing w:line="360" w:lineRule="auto"/>
        <w:ind w:left="720" w:hanging="720"/>
      </w:pPr>
      <w:r>
        <w:rPr>
          <w:sz w:val="20"/>
        </w:rPr>
        <w:t>(30) Schwartz, M. D. Vibe Physics: The AI Grad Student. Anthropic 2026. https://www.anthropic.com/research/vibe-physics (accessed 2026-04-07).</w:t>
      </w:r>
    </w:p>
    <w:p w:rsidR="00E87517" w:rsidRDefault="00000000">
      <w:pPr>
        <w:spacing w:line="360" w:lineRule="auto"/>
        <w:ind w:left="720" w:hanging="720"/>
      </w:pPr>
      <w:r>
        <w:rPr>
          <w:sz w:val="20"/>
        </w:rPr>
        <w:t>(31) Hartley, S. M.; Tiernan, K. A.; Ahmetaj, G.; Cretu, A.; Zhuang, Y.; Zimmer, M. AlphaFold2 and RoseTTAFold Predict Posttranslational Modifications. Chromophore Formation in GFP-like Proteins. PLoS One 2022, 17, e0267560.</w:t>
      </w:r>
    </w:p>
    <w:p w:rsidR="00E87517" w:rsidRDefault="00000000">
      <w:pPr>
        <w:spacing w:line="360" w:lineRule="auto"/>
        <w:ind w:left="720" w:hanging="720"/>
      </w:pPr>
      <w:r>
        <w:rPr>
          <w:sz w:val="20"/>
        </w:rPr>
        <w:t>(32) Hayes, T.; et al. Simulating 500 Million Years of Evolution with a Language Model. Science 2025, 387, 850–858.</w:t>
      </w:r>
    </w:p>
    <w:p w:rsidR="00E87517" w:rsidRDefault="00000000">
      <w:pPr>
        <w:spacing w:line="360" w:lineRule="auto"/>
        <w:ind w:left="720" w:hanging="720"/>
      </w:pPr>
      <w:r>
        <w:rPr>
          <w:sz w:val="20"/>
        </w:rPr>
        <w:lastRenderedPageBreak/>
        <w:t>(33) Gelman, S.; Johnson, B.; Freschlin, C. R.; Sharma, A.; D’Costa, S.; Peters, J.; Gitter, A.; Romero, P. A. Biophysics-Based Protein Language Models for Protein Engineering. Nat. Methods 2025, 22, 1868–1879.</w:t>
      </w:r>
    </w:p>
    <w:p w:rsidR="00E87517" w:rsidRDefault="00000000">
      <w:pPr>
        <w:spacing w:line="360" w:lineRule="auto"/>
        <w:ind w:left="720" w:hanging="720"/>
      </w:pPr>
      <w:r>
        <w:rPr>
          <w:sz w:val="20"/>
        </w:rPr>
        <w:t>(34) Lambert, T. J. FPbase: A Community-Editable Fluorescent Protein Database. Nat. Methods 2019, 16, 277–278.</w:t>
      </w:r>
    </w:p>
    <w:p w:rsidR="00E87517" w:rsidRDefault="00000000">
      <w:pPr>
        <w:spacing w:line="360" w:lineRule="auto"/>
        <w:ind w:left="720" w:hanging="720"/>
      </w:pPr>
      <w:r>
        <w:rPr>
          <w:sz w:val="20"/>
        </w:rPr>
        <w:t>(35) Sievers, F.; et al. Fast, Scalable Generation of High-Quality Protein Multiple Sequence Alignments Using Clustal Omega. Mol. Syst. Biol. 2011, 7, 539.</w:t>
      </w:r>
    </w:p>
    <w:p w:rsidR="00E87517" w:rsidRDefault="00000000">
      <w:pPr>
        <w:spacing w:line="360" w:lineRule="auto"/>
        <w:ind w:left="720" w:hanging="720"/>
      </w:pPr>
      <w:r>
        <w:rPr>
          <w:sz w:val="20"/>
        </w:rPr>
        <w:t>(36) Waterhouse, A. M.; Procter, J. B.; Martin, D. M. A.; Clamp, M.; Barton, G. J. Jalview Version 2—A Multiple Sequence Alignment Editor and Analysis Workbench. Bioinformatics 2009, 25, 1189–1191.</w:t>
      </w:r>
    </w:p>
    <w:p w:rsidR="00E87517" w:rsidRDefault="00000000">
      <w:pPr>
        <w:spacing w:line="360" w:lineRule="auto"/>
        <w:ind w:left="720" w:hanging="720"/>
      </w:pPr>
      <w:r>
        <w:rPr>
          <w:sz w:val="20"/>
        </w:rPr>
        <w:t>(37) Barber, C. B.; Dobkin, D. P.; Huhdanpaa, H. The Quickhull Algorithm for Convex Hulls. ACM Trans. Math. Softw. 1996, 22, 469–483.</w:t>
      </w:r>
    </w:p>
    <w:p w:rsidR="00E87517" w:rsidRDefault="00000000">
      <w:pPr>
        <w:spacing w:line="360" w:lineRule="auto"/>
        <w:ind w:left="720" w:hanging="720"/>
      </w:pPr>
      <w:r>
        <w:rPr>
          <w:sz w:val="20"/>
        </w:rPr>
        <w:t>(38) Cranfill, P. J.; et al. Quantitative Assessment of Fluorescent Proteins. Nat. Methods 2016, 13, 557–562.</w:t>
      </w:r>
    </w:p>
    <w:p w:rsidR="00E87517" w:rsidRDefault="00000000">
      <w:pPr>
        <w:spacing w:line="360" w:lineRule="auto"/>
        <w:ind w:left="720" w:hanging="720"/>
      </w:pPr>
      <w:r>
        <w:rPr>
          <w:sz w:val="20"/>
        </w:rPr>
        <w:t>(39) Virtanen, P.; et al. SciPy 1.0: Fundamental Algorithms for Scientific Computing in Python. Nat. Methods 2020, 17, 261–272.</w:t>
      </w:r>
    </w:p>
    <w:p w:rsidR="00E87517" w:rsidRDefault="00000000">
      <w:pPr>
        <w:spacing w:line="360" w:lineRule="auto"/>
        <w:ind w:left="720" w:hanging="720"/>
      </w:pPr>
      <w:r>
        <w:rPr>
          <w:sz w:val="20"/>
        </w:rPr>
        <w:t>(40) Pedregosa, F.; et al. Scikit-learn: Machine Learning in Python. J. Mach. Learn. Res. 2011, 12, 2825–2830.</w:t>
      </w:r>
    </w:p>
    <w:p w:rsidR="00E87517" w:rsidRDefault="00000000">
      <w:pPr>
        <w:spacing w:line="360" w:lineRule="auto"/>
        <w:ind w:left="720" w:hanging="720"/>
      </w:pPr>
      <w:r>
        <w:rPr>
          <w:sz w:val="20"/>
        </w:rPr>
        <w:t>(41) Hirano, M.; Ando, R.; Shimozono, S.; Sugiyama, M.; Takeda, N.; Kurokawa, H.; Deguchi, R.; Endo, K.; Haga, K.; Takai-Todaka, R.; et al. A Highly Photostable and Bright Green Fluorescent Protein. Nat. Biotechnol. 2022, 40, 1132–1142.</w:t>
      </w:r>
    </w:p>
    <w:p w:rsidR="00E87517" w:rsidRDefault="00000000">
      <w:r>
        <w:br w:type="page"/>
      </w:r>
    </w:p>
    <w:p w:rsidR="00E87517" w:rsidRDefault="00000000">
      <w:r>
        <w:rPr>
          <w:b/>
          <w:sz w:val="28"/>
        </w:rPr>
        <w:lastRenderedPageBreak/>
        <w:t>Supporting Information</w:t>
      </w:r>
    </w:p>
    <w:p w:rsidR="00E87517" w:rsidRDefault="00000000">
      <w:pPr>
        <w:ind w:firstLine="720"/>
      </w:pPr>
      <w:r>
        <w:t>The Supporting Information contains the following items:</w:t>
      </w:r>
    </w:p>
    <w:p w:rsidR="00E87517" w:rsidRDefault="00000000">
      <w:pPr>
        <w:ind w:firstLine="720"/>
      </w:pPr>
      <w: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S2) that comprise the geometric-analysis cohort reported in the main text. This table also serves as the source data for all figures in the manuscript (provided as a CSV file). Note: PDB entries 4DXQ and 4DXP (Kaede photoconvertible FP) are genuine FP barrels present in the PDB but absent from this dataset because their SCOP classification was not captured in our curation pipeline; they were not explicitly excluded on scientific grounds.</w:t>
      </w:r>
    </w:p>
    <w:p w:rsidR="00E87517" w:rsidRDefault="00000000">
      <w:pPr>
        <w:ind w:firstLine="720"/>
      </w:pPr>
      <w:r>
        <w:t xml:space="preserve">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t>
      </w:r>
      <w:r>
        <w:lastRenderedPageBreak/>
        <w:t>which loses power at the reduced n = 18 unique-protein sample, and (ii–iii) the eccentricity and minor-axis Mann–Whitney tests of chromophore-present vs chromophore-absent barrels, reflecting the small number of unique chromophore-absent proteins (n = 6) (provided as a CSV file).</w:t>
      </w:r>
    </w:p>
    <w:p w:rsidR="00E87517" w:rsidRDefault="00000000">
      <w:pPr>
        <w:ind w:firstLine="720"/>
      </w:pPr>
      <w: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rsidR="00E87517" w:rsidRDefault="00000000">
      <w:pPr>
        <w:ind w:firstLine="720"/>
      </w:pPr>
      <w: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46 of 63 tests survive correction; the seventeen that do not are predominantly low-effect-size correlations involving quantum yield, barrel length, or major axis with weak emission-wavelength association — none of which is interpreted as a key finding in the main text.</w:t>
      </w:r>
    </w:p>
    <w:p w:rsidR="00E87517" w:rsidRDefault="00000000">
      <w:pPr>
        <w:ind w:firstLine="720"/>
      </w:pPr>
      <w:r>
        <w:t xml:space="preserve">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analysed a non-chromophore chain when </w:t>
      </w:r>
      <w:r>
        <w:lastRenderedPageBreak/>
        <w:t>another chain in the same entry contains the chromophore (`bug_flag = True`). See Note S2 for the discussion of the 15 flagged entries and the action taken (provided as a CSV file).</w:t>
      </w:r>
    </w:p>
    <w:p w:rsidR="005530EE" w:rsidRDefault="005530EE" w:rsidP="005530EE">
      <w:pPr>
        <w:ind w:firstLine="720"/>
      </w:pPr>
      <w:r>
        <w:t>Note S1. AI Failure Case Studies. Three episodes during this work illustrate characteristic ways that LLM-generated code can be confidently wrong, and the kinds of human expert checks that catch them.</w:t>
      </w:r>
    </w:p>
    <w:p w:rsidR="005530EE" w:rsidRDefault="005530EE" w:rsidP="005530EE">
      <w:pPr>
        <w:ind w:firstLine="720"/>
      </w:pPr>
      <w: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w:t>
      </w:r>
      <w:proofErr w:type="spellStart"/>
      <w:r>
        <w:t>chromophoric</w:t>
      </w:r>
      <w:proofErr w:type="spellEnd"/>
      <w:r>
        <w:t xml:space="preserve">. Examination of the structures confirmed that CR8 contains both a complete </w:t>
      </w:r>
      <w:proofErr w:type="spellStart"/>
      <w:r>
        <w:t>imidazolinone</w:t>
      </w:r>
      <w:proofErr w:type="spellEnd"/>
      <w:r>
        <w:t xml:space="preserv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rsidR="005530EE" w:rsidRDefault="005530EE" w:rsidP="005530EE">
      <w:pPr>
        <w:ind w:firstLine="720"/>
      </w:pPr>
      <w:r>
        <w:lastRenderedPageBreak/>
        <w:t>(b) Chain selection in FP-complex co-crystals. The default chain-selection rule analyzed the longest standard-amino-acid chain in each PDB entry. For 15 entries this is the wrong chain: the FP is co-</w:t>
      </w:r>
      <w:proofErr w:type="spellStart"/>
      <w:r>
        <w:t>crystallised</w:t>
      </w:r>
      <w:proofErr w:type="spellEnd"/>
      <w:r>
        <w:t xml:space="preserve">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w:t>
      </w:r>
      <w:proofErr w:type="spellStart"/>
      <w:r>
        <w:t>mmCIF</w:t>
      </w:r>
      <w:proofErr w:type="spellEnd"/>
      <w:r>
        <w:t xml:space="preserve">,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w:t>
      </w:r>
      <w:proofErr w:type="spellStart"/>
      <w:r>
        <w:t>sfGFP</w:t>
      </w:r>
      <w:proofErr w:type="spellEnd"/>
      <w:r>
        <w:t xml:space="preserve"> carrying an ONBY-66 caged chromophore; major axis 35.6 Å vs the cohort mean of 32.7 Å, eccentricity 0.65 vs the mean 0.41, because the β-strands cross between monomers) and 3U0K (</w:t>
      </w:r>
      <w:proofErr w:type="spellStart"/>
      <w:r>
        <w:t>RCaMP</w:t>
      </w:r>
      <w:proofErr w:type="spellEnd"/>
      <w:r>
        <w:t xml:space="preserve">, a circularly permuted red FP fused to calmodulin and an M13 peptide for calcium sensing; major axis 51.3 Å, eccentricity 0.87, reflecting the </w:t>
      </w:r>
      <w:proofErr w:type="spellStart"/>
      <w:r>
        <w:t>cpFP</w:t>
      </w:r>
      <w:proofErr w:type="spellEnd"/>
      <w:r>
        <w:t xml:space="preserve"> topology). Both are well-characterized FP-derived proteins but do not represent a standard monomeric FP barrel, and are excluded from the canonical cohort by name.</w:t>
      </w:r>
    </w:p>
    <w:p w:rsidR="005530EE" w:rsidRDefault="005530EE" w:rsidP="005530EE">
      <w:pPr>
        <w:ind w:firstLine="720"/>
      </w:pPr>
      <w:r>
        <w:t xml:space="preserve">(c)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w:t>
      </w:r>
      <w:r>
        <w:lastRenderedPageBreak/>
        <w:t>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rsidR="00E87517" w:rsidRDefault="00000000">
      <w:pPr>
        <w:ind w:firstLine="720"/>
      </w:pPr>
      <w: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sidR="00E87517" w:rsidRDefault="00000000">
      <w:r>
        <w:br w:type="page"/>
      </w:r>
    </w:p>
    <w:p w:rsidR="00E87517" w:rsidRDefault="00000000">
      <w:pPr>
        <w:keepNext/>
        <w:jc w:val="center"/>
      </w:pPr>
      <w:r>
        <w:rPr>
          <w:noProof/>
        </w:rPr>
        <w:lastRenderedPageBreak/>
        <w:drawing>
          <wp:inline distT="0" distB="0" distL="0" distR="0">
            <wp:extent cx="5943600" cy="48377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color_class.png"/>
                    <pic:cNvPicPr/>
                  </pic:nvPicPr>
                  <pic:blipFill>
                    <a:blip r:embed="rId12"/>
                    <a:stretch>
                      <a:fillRect/>
                    </a:stretch>
                  </pic:blipFill>
                  <pic:spPr>
                    <a:xfrm>
                      <a:off x="0" y="0"/>
                      <a:ext cx="5943600" cy="4837743"/>
                    </a:xfrm>
                    <a:prstGeom prst="rect">
                      <a:avLst/>
                    </a:prstGeom>
                  </pic:spPr>
                </pic:pic>
              </a:graphicData>
            </a:graphic>
          </wp:inline>
        </w:drawing>
      </w:r>
    </w:p>
    <w:p w:rsidR="00E87517" w:rsidRDefault="00000000">
      <w:pPr>
        <w:keepLines/>
        <w:spacing w:after="120"/>
      </w:pPr>
      <w:r>
        <w:rPr>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47399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cis_trans.png"/>
                    <pic:cNvPicPr/>
                  </pic:nvPicPr>
                  <pic:blipFill>
                    <a:blip r:embed="rId13"/>
                    <a:stretch>
                      <a:fillRect/>
                    </a:stretch>
                  </pic:blipFill>
                  <pic:spPr>
                    <a:xfrm>
                      <a:off x="0" y="0"/>
                      <a:ext cx="5943600" cy="4739901"/>
                    </a:xfrm>
                    <a:prstGeom prst="rect">
                      <a:avLst/>
                    </a:prstGeom>
                  </pic:spPr>
                </pic:pic>
              </a:graphicData>
            </a:graphic>
          </wp:inline>
        </w:drawing>
      </w:r>
    </w:p>
    <w:p w:rsidR="00E87517" w:rsidRDefault="00000000">
      <w:pPr>
        <w:keepLines/>
        <w:spacing w:after="120"/>
      </w:pPr>
      <w:r>
        <w:rPr>
          <w:sz w:val="20"/>
        </w:rPr>
        <w:t>S2. Barrel geometry by chromophore configuration (cis, trans, and twisted).</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47484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resolution.png"/>
                    <pic:cNvPicPr/>
                  </pic:nvPicPr>
                  <pic:blipFill>
                    <a:blip r:embed="rId14"/>
                    <a:stretch>
                      <a:fillRect/>
                    </a:stretch>
                  </pic:blipFill>
                  <pic:spPr>
                    <a:xfrm>
                      <a:off x="0" y="0"/>
                      <a:ext cx="5943600" cy="4748463"/>
                    </a:xfrm>
                    <a:prstGeom prst="rect">
                      <a:avLst/>
                    </a:prstGeom>
                  </pic:spPr>
                </pic:pic>
              </a:graphicData>
            </a:graphic>
          </wp:inline>
        </w:drawing>
      </w:r>
    </w:p>
    <w:p w:rsidR="00E87517" w:rsidRDefault="00000000">
      <w:pPr>
        <w:keepLines/>
        <w:spacing w:after="120"/>
      </w:pPr>
      <w:r>
        <w:rPr>
          <w:sz w:val="20"/>
        </w:rPr>
        <w:t>S3. Resolution control. (A) Resolution vs minor axis. (B) Emission vs minor axis colored by resolution. (C) High-resolution subset (&lt;2.0 Å) only.</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51841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4_heatmap.png"/>
                    <pic:cNvPicPr/>
                  </pic:nvPicPr>
                  <pic:blipFill>
                    <a:blip r:embed="rId15"/>
                    <a:stretch>
                      <a:fillRect/>
                    </a:stretch>
                  </pic:blipFill>
                  <pic:spPr>
                    <a:xfrm>
                      <a:off x="0" y="0"/>
                      <a:ext cx="5943600" cy="5184140"/>
                    </a:xfrm>
                    <a:prstGeom prst="rect">
                      <a:avLst/>
                    </a:prstGeom>
                  </pic:spPr>
                </pic:pic>
              </a:graphicData>
            </a:graphic>
          </wp:inline>
        </w:drawing>
      </w:r>
    </w:p>
    <w:p w:rsidR="00E87517" w:rsidRDefault="00000000">
      <w:pPr>
        <w:keepLines/>
        <w:spacing w:after="120"/>
      </w:pPr>
      <w:r>
        <w:rPr>
          <w:sz w:val="20"/>
        </w:rPr>
        <w:t>S4. Spearman correlation matrix for all variables. Asterisks indicate * p &lt; 0.05, ** p &lt; 0.01, *** p &lt; 0.001.</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62693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5_chromophore_types.png"/>
                    <pic:cNvPicPr/>
                  </pic:nvPicPr>
                  <pic:blipFill>
                    <a:blip r:embed="rId16"/>
                    <a:stretch>
                      <a:fillRect/>
                    </a:stretch>
                  </pic:blipFill>
                  <pic:spPr>
                    <a:xfrm>
                      <a:off x="0" y="0"/>
                      <a:ext cx="5943600" cy="6269386"/>
                    </a:xfrm>
                    <a:prstGeom prst="rect">
                      <a:avLst/>
                    </a:prstGeom>
                  </pic:spPr>
                </pic:pic>
              </a:graphicData>
            </a:graphic>
          </wp:inline>
        </w:drawing>
      </w:r>
    </w:p>
    <w:p w:rsidR="00E87517" w:rsidRDefault="00000000">
      <w:pPr>
        <w:keepLines/>
        <w:spacing w:after="120"/>
      </w:pPr>
      <w:r>
        <w:rPr>
          <w:sz w:val="20"/>
        </w:rPr>
        <w:t>S5. Barrel geometry by chromophore residue type. Chromophore codes with n &lt; 5 are omitted for legibility; this excludes the four His66-derived (blue) codes (IIC, CRG, CSH, XXY; n = 1, 3, 4, and 1 respectively).</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38339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6_chromophore_effect.png"/>
                    <pic:cNvPicPr/>
                  </pic:nvPicPr>
                  <pic:blipFill>
                    <a:blip r:embed="rId17"/>
                    <a:stretch>
                      <a:fillRect/>
                    </a:stretch>
                  </pic:blipFill>
                  <pic:spPr>
                    <a:xfrm>
                      <a:off x="0" y="0"/>
                      <a:ext cx="5943600" cy="3833926"/>
                    </a:xfrm>
                    <a:prstGeom prst="rect">
                      <a:avLst/>
                    </a:prstGeom>
                  </pic:spPr>
                </pic:pic>
              </a:graphicData>
            </a:graphic>
          </wp:inline>
        </w:drawing>
      </w:r>
    </w:p>
    <w:p w:rsidR="00E87517" w:rsidRDefault="00000000">
      <w:pPr>
        <w:keepLines/>
        <w:spacing w:after="120"/>
      </w:pPr>
      <w:r>
        <w:rPr>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029200" cy="66137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7_megley.png"/>
                    <pic:cNvPicPr/>
                  </pic:nvPicPr>
                  <pic:blipFill>
                    <a:blip r:embed="rId18"/>
                    <a:stretch>
                      <a:fillRect/>
                    </a:stretch>
                  </pic:blipFill>
                  <pic:spPr>
                    <a:xfrm>
                      <a:off x="0" y="0"/>
                      <a:ext cx="5029200" cy="6613742"/>
                    </a:xfrm>
                    <a:prstGeom prst="rect">
                      <a:avLst/>
                    </a:prstGeom>
                  </pic:spPr>
                </pic:pic>
              </a:graphicData>
            </a:graphic>
          </wp:inline>
        </w:drawing>
      </w:r>
    </w:p>
    <w:p w:rsidR="00E87517" w:rsidRDefault="00000000">
      <w:pPr>
        <w:keepLines/>
        <w:spacing w:after="120"/>
      </w:pPr>
      <w:r>
        <w:rPr>
          <w:sz w:val="20"/>
        </w:rPr>
        <w:t>S7. Chromophore dihedral analysis. (A) τ vs φ plot colored by emission class. (B) |τ| vs quantum yield. (C) Dihedral sum (τ + φ) vs emission wavelength.</w:t>
      </w:r>
    </w:p>
    <w:p w:rsidR="00E87517" w:rsidRDefault="00E87517"/>
    <w:p w:rsidR="00E87517" w:rsidRDefault="00000000">
      <w:r>
        <w:br w:type="page"/>
      </w:r>
    </w:p>
    <w:p w:rsidR="00E87517" w:rsidRDefault="00000000">
      <w:pPr>
        <w:keepNext/>
        <w:jc w:val="center"/>
      </w:pPr>
      <w:r>
        <w:rPr>
          <w:noProof/>
        </w:rPr>
        <w:lastRenderedPageBreak/>
        <w:drawing>
          <wp:inline distT="0" distB="0" distL="0" distR="0">
            <wp:extent cx="5943600" cy="3655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8_alphafold_paired.png"/>
                    <pic:cNvPicPr/>
                  </pic:nvPicPr>
                  <pic:blipFill>
                    <a:blip r:embed="rId19"/>
                    <a:stretch>
                      <a:fillRect/>
                    </a:stretch>
                  </pic:blipFill>
                  <pic:spPr>
                    <a:xfrm>
                      <a:off x="0" y="0"/>
                      <a:ext cx="5943600" cy="3655831"/>
                    </a:xfrm>
                    <a:prstGeom prst="rect">
                      <a:avLst/>
                    </a:prstGeom>
                  </pic:spPr>
                </pic:pic>
              </a:graphicData>
            </a:graphic>
          </wp:inline>
        </w:drawing>
      </w:r>
    </w:p>
    <w:p w:rsidR="00E87517" w:rsidRDefault="00000000">
      <w:pPr>
        <w:keepLines/>
        <w:spacing w:after="120"/>
      </w:pPr>
      <w:r>
        <w:rPr>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rsidR="00E87517" w:rsidRDefault="00E87517"/>
    <w:sectPr w:rsidR="00E87517" w:rsidSect="00034616">
      <w:footerReference w:type="default" r:id="rId20"/>
      <w:pgSz w:w="12240" w:h="15840"/>
      <w:pgMar w:top="1440" w:right="1440" w:bottom="1440" w:left="1440" w:header="720" w:footer="720" w:gutter="0"/>
      <w:lnNumType w:countBy="1" w:start="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D239A" w:rsidRDefault="007D239A">
      <w:pPr>
        <w:spacing w:line="240" w:lineRule="auto"/>
      </w:pPr>
      <w:r>
        <w:separator/>
      </w:r>
    </w:p>
  </w:endnote>
  <w:endnote w:type="continuationSeparator" w:id="0">
    <w:p w:rsidR="007D239A" w:rsidRDefault="007D23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87517" w:rsidRDefault="00000000">
    <w:pPr>
      <w:pStyle w:val="Footer"/>
      <w:jc w:val="center"/>
    </w:pPr>
    <w:r>
      <w:rPr>
        <w:sz w:val="22"/>
      </w:rPr>
      <w:fldChar w:fldCharType="begin"/>
    </w:r>
    <w:r>
      <w:rPr>
        <w:sz w:val="22"/>
      </w:rPr>
      <w:instrText>PAGE</w:instrText>
    </w:r>
    <w:r>
      <w:rPr>
        <w:sz w:val="22"/>
      </w:rPr>
      <w:fldChar w:fldCharType="separate"/>
    </w:r>
    <w:r w:rsidR="00BC609E">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D239A" w:rsidRDefault="007D239A">
      <w:pPr>
        <w:spacing w:line="240" w:lineRule="auto"/>
      </w:pPr>
      <w:r>
        <w:separator/>
      </w:r>
    </w:p>
  </w:footnote>
  <w:footnote w:type="continuationSeparator" w:id="0">
    <w:p w:rsidR="007D239A" w:rsidRDefault="007D239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469330">
    <w:abstractNumId w:val="8"/>
  </w:num>
  <w:num w:numId="2" w16cid:durableId="1455098063">
    <w:abstractNumId w:val="6"/>
  </w:num>
  <w:num w:numId="3" w16cid:durableId="1492334445">
    <w:abstractNumId w:val="5"/>
  </w:num>
  <w:num w:numId="4" w16cid:durableId="2110587979">
    <w:abstractNumId w:val="4"/>
  </w:num>
  <w:num w:numId="5" w16cid:durableId="191573622">
    <w:abstractNumId w:val="7"/>
  </w:num>
  <w:num w:numId="6" w16cid:durableId="671295034">
    <w:abstractNumId w:val="3"/>
  </w:num>
  <w:num w:numId="7" w16cid:durableId="2114133538">
    <w:abstractNumId w:val="2"/>
  </w:num>
  <w:num w:numId="8" w16cid:durableId="1200705125">
    <w:abstractNumId w:val="1"/>
  </w:num>
  <w:num w:numId="9" w16cid:durableId="34868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231"/>
    <w:rsid w:val="0015074B"/>
    <w:rsid w:val="0029639D"/>
    <w:rsid w:val="00326F90"/>
    <w:rsid w:val="00394A6B"/>
    <w:rsid w:val="004848B1"/>
    <w:rsid w:val="004D1F4A"/>
    <w:rsid w:val="004D4694"/>
    <w:rsid w:val="005530EE"/>
    <w:rsid w:val="00645518"/>
    <w:rsid w:val="007739C8"/>
    <w:rsid w:val="007D239A"/>
    <w:rsid w:val="00A45774"/>
    <w:rsid w:val="00AA1D8D"/>
    <w:rsid w:val="00AE7690"/>
    <w:rsid w:val="00B47730"/>
    <w:rsid w:val="00BC609E"/>
    <w:rsid w:val="00C3115F"/>
    <w:rsid w:val="00CB0664"/>
    <w:rsid w:val="00E87517"/>
    <w:rsid w:val="00EB3C79"/>
    <w:rsid w:val="00EE169A"/>
    <w:rsid w:val="00F50B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45BEF"/>
  <w14:defaultImageDpi w14:val="300"/>
  <w15:docId w15:val="{5C7B756B-6F61-D949-9418-CF2B767DC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BC609E"/>
  </w:style>
  <w:style w:type="character" w:styleId="Hyperlink">
    <w:name w:val="Hyperlink"/>
    <w:basedOn w:val="DefaultParagraphFont"/>
    <w:uiPriority w:val="99"/>
    <w:unhideWhenUsed/>
    <w:rsid w:val="004848B1"/>
    <w:rPr>
      <w:color w:val="0000FF" w:themeColor="hyperlink"/>
      <w:u w:val="single"/>
    </w:rPr>
  </w:style>
  <w:style w:type="character" w:styleId="UnresolvedMention">
    <w:name w:val="Unresolved Mention"/>
    <w:basedOn w:val="DefaultParagraphFont"/>
    <w:uiPriority w:val="99"/>
    <w:semiHidden/>
    <w:unhideWhenUsed/>
    <w:rsid w:val="004848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8460-9064"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43</Pages>
  <Words>9866</Words>
  <Characters>56242</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8</cp:revision>
  <dcterms:created xsi:type="dcterms:W3CDTF">2026-05-19T00:59:00Z</dcterms:created>
  <dcterms:modified xsi:type="dcterms:W3CDTF">2026-05-19T09:53:00Z</dcterms:modified>
  <cp:category/>
</cp:coreProperties>
</file>