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Fluorescence quantum yield, by contrast, is not governed by barrel size: it tracks how rigidly the barrel holds the chromophore (chromophore-to-barrel B-factor ratio, ρ = –0.49 per unique FP), together with the chromophore’s ground-state planarity (ρ = –0.42) as an independent signal of comparable strength; the planarity term is concentrated in red fluorescent proteins and is examined in detail in a companion study.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2952163"/>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2952163"/>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fluorescence quantum yields (the fraction of absorbed photons re-emitted as fluorescence; hereafter quantum yield for brevity).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principal component analysis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–0.49 per unique FP) and on the chromophore’s ground-state planarity (ρ = –0.42, an independent signal developed in a companion study),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 xml:space="preserve">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w:t>
      </w:r>
      <w:r>
        <w:rPr>
          <w:rFonts w:ascii="Times New Roman" w:hAnsi="Times New Roman"/>
          <w:i/>
          <w:sz w:val="24"/>
        </w:rPr>
        <w:t>cis</w:t>
      </w:r>
      <w:r>
        <w:rPr>
          <w:rFonts w:ascii="Times New Roman" w:hAnsi="Times New Roman"/>
          <w:sz w:val="24"/>
        </w:rPr>
        <w:t xml:space="preserve">, |τ| &gt; 150° as </w:t>
      </w:r>
      <w:r>
        <w:rPr>
          <w:rFonts w:ascii="Times New Roman" w:hAnsi="Times New Roman"/>
          <w:i/>
          <w:sz w:val="24"/>
        </w:rPr>
        <w:t>trans</w:t>
      </w:r>
      <w:r>
        <w:rPr>
          <w:rFonts w:ascii="Times New Roman" w:hAnsi="Times New Roman"/>
          <w:sz w:val="24"/>
        </w:rPr>
        <w:t xml:space="preserve">, and the remainder as twisted. Absolute magnitudes |τ| and |φ| are used in correlation analyses as descriptive measures of out-of-plane chromophore distortion, irrespective of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 xml:space="preserve">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w:t>
      </w:r>
      <w:r>
        <w:rPr>
          <w:rFonts w:ascii="Times New Roman" w:hAnsi="Times New Roman"/>
          <w:i/>
          <w:sz w:val="24"/>
        </w:rPr>
        <w:t>cis</w:t>
      </w:r>
      <w:r>
        <w:rPr>
          <w:rFonts w:ascii="Times New Roman" w:hAnsi="Times New Roman"/>
          <w:sz w:val="24"/>
        </w:rPr>
        <w:t>-vs-</w:t>
      </w:r>
      <w:r>
        <w:rPr>
          <w:rFonts w:ascii="Times New Roman" w:hAnsi="Times New Roman"/>
          <w:i/>
          <w:sz w:val="24"/>
        </w:rPr>
        <w:t>trans</w:t>
      </w:r>
      <w:r>
        <w:rPr>
          <w:rFonts w:ascii="Times New Roman" w:hAnsi="Times New Roman"/>
          <w:sz w:val="24"/>
        </w:rPr>
        <w:t xml:space="preserve">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the Bland–Altman plots in the Supporting Information show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Under a granular per-protein identity (matched FPbase entry plus chain-A sequence; Table S7), the 780 canonical structures represent 430 unique proteins. The effective sample size for cross-protein comparisons is therefore smaller than the total structure count, and robustness to pseudoreplication and sampling imbalance is assessed in Tables S2 and S7.</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S1).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(Figure S2). Eccentricity (Kruskal–Wallis H = 113.2, p = 8.6 × 10⁻²³), minor axis (H = 108.9, p = 7.0 × 10⁻²²), and circularity (H = 103.0, p = 1.2 × 10⁻²⁰) all differed across groups. Red fluorescent proteins had the most elliptical barrels and narrowest minor axes; green had the most circular. At the single-structure level (Figure 1), emission wavelength correlated with eccentricity (Figure 1B; ρ = +0.320, p = 1.4 × 10⁻¹⁶), minor axis (Figure 1A; ρ = –0.329, p = 1.9 × 10⁻¹⁷), and circularity (Figure 1C; ρ = –0.258, p = 4.5 × 10⁻¹¹). Emission was weakly correlated with the major axis (Figure 1D;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766544"/>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766544"/>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The relationships are monotonic but modest and display substantial scatter at the single-structure level; the reported Spearman ρ (rank correlation) and its p-value, not the visual spread, quantify each association, and the dashed lines are linear least-squares fits included only as guides to the eye (the trends are not assumed to be linear). The associations strengthen when replicate crystals are collapsed to one point per protein (Tables S2, S7). Red-shifted variants populate the narrower, more elliptical tail of each distribution. The same data summarized by emission color class are shown as bar charts in Figure S2.</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(Figure 2A; ρ = –0.309, p = 2.7 × 10⁻⁸, n = 310), surviving partial correlation controlling for resolution (partial ρ = –0.282). Collapsed to one entry per protein, it remains a strong and independent QY correlate (ρ = –0.49, n = 123; Table S6), comparable to chromophore ground-state planarity (see Chromophore Dihedral Geometry, below); the two capture distinct structural routes to brightness and are not an artifact of replicate structures. The ratio varied by color class (Figure 2C): blue 0.66 ± 0.19, cyan 0.70 ± 0.15, green 0.76 ± 0.17, yellow 0.79 ± 0.16, orange 0.88 ± 0.22, red 1.02 ± 0.24. In red fluorescent proteins, the chromophore is on average no more rigid than the barrel. This is not simply a chromophore-size effect: although the acylimine-extended red chromophore is larger and forms more barrel contacts than the green HBI chromophore (mean 138 vs 122 non-hydrogen atoms within 4 Å), its absolute B-factor (≈ 28 Å²) is comparable to that of its barrel rather than lower, so the additional bulk and contacts do not translate into greater relative thermal immobilization. Whether this reflects genuine chromophore dynamics or the refinement behavior of the extended conjugated system cannot be resolved from crystallographic B-factors alone.</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(Figure 2B;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5911202"/>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5911202"/>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 xml:space="preserve">τ and φ dihedral angles were computed for 603 canonical-cohort structures (590 of which were classifiable as </w:t>
      </w:r>
      <w:r>
        <w:rPr>
          <w:rFonts w:ascii="Times New Roman" w:hAnsi="Times New Roman"/>
          <w:i/>
          <w:sz w:val="24"/>
        </w:rPr>
        <w:t>cis</w:t>
      </w:r>
      <w:r>
        <w:rPr>
          <w:rFonts w:ascii="Times New Roman" w:hAnsi="Times New Roman"/>
          <w:sz w:val="24"/>
        </w:rPr>
        <w:t xml:space="preserve">, </w:t>
      </w:r>
      <w:r>
        <w:rPr>
          <w:rFonts w:ascii="Times New Roman" w:hAnsi="Times New Roman"/>
          <w:i/>
          <w:sz w:val="24"/>
        </w:rPr>
        <w:t>trans</w:t>
      </w:r>
      <w:r>
        <w:rPr>
          <w:rFonts w:ascii="Times New Roman" w:hAnsi="Times New Roman"/>
          <w:sz w:val="24"/>
        </w:rPr>
        <w:t xml:space="preserve">, or twisted). </w:t>
      </w:r>
      <w:r>
        <w:rPr>
          <w:rFonts w:ascii="Times New Roman" w:hAnsi="Times New Roman"/>
          <w:i/>
          <w:sz w:val="24"/>
        </w:rPr>
        <w:t>Cis</w:t>
      </w:r>
      <w:r>
        <w:rPr>
          <w:rFonts w:ascii="Times New Roman" w:hAnsi="Times New Roman"/>
          <w:sz w:val="24"/>
        </w:rPr>
        <w:t xml:space="preserve"> configurations predominated (441, 74.7%), with 111 </w:t>
      </w:r>
      <w:r>
        <w:rPr>
          <w:rFonts w:ascii="Times New Roman" w:hAnsi="Times New Roman"/>
          <w:i/>
          <w:sz w:val="24"/>
        </w:rPr>
        <w:t>trans</w:t>
      </w:r>
      <w:r>
        <w:rPr>
          <w:rFonts w:ascii="Times New Roman" w:hAnsi="Times New Roman"/>
          <w:sz w:val="24"/>
        </w:rPr>
        <w:t xml:space="preserve">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S3C).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degeneracy, so that a near-planar </w:t>
      </w:r>
      <w:r>
        <w:rPr>
          <w:rFonts w:ascii="Times New Roman" w:hAnsi="Times New Roman"/>
          <w:i/>
          <w:sz w:val="24"/>
        </w:rPr>
        <w:t>trans</w:t>
      </w:r>
      <w:r>
        <w:rPr>
          <w:rFonts w:ascii="Times New Roman" w:hAnsi="Times New Roman"/>
          <w:sz w:val="24"/>
        </w:rPr>
        <w:t xml:space="preserve"> or ring-flipped chromophore is correctly scored as planar; an unfolded |τ| + |φ| sum instead misregisters such structures as maximally twisted (for example, near-planar mScarlet, φ ≈ 179°, which scores 180° rather than 2° from planar). Barrel cross-sectional metrics — area, minor axis, and eccentricity —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123 unique FPs with both metrics; Table S6), two such features carry independent signals: the chromophore-to-barrel B-factor ratio (ρ = –0.49, p &lt; 10⁻⁴) and the chromophore’s ground-state planarity (distance-from-planar vs QY, ρ = –0.42, p = 1 × 10⁻⁴); each survives adjustment for the other (partial ρ = –0.43 and –0.35). Neither is dominant, and both are modest, consistent with quantum yield being shaped by several structural routes — ground-state geometry, thermal damping, and local electrostatics —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 its concentration in red FPs, which span a wide range of ground-state twist, versus green FPs, which cluster near planar with little spread — is characterized in detail in a companion analysis of chromophore torsional space.⁴² These two structural routes are consistent with recent excited-state studies: in red FPs a pre-twisted ground-state chromophore brings the S₁/S₀ conical intersection to or below the Franck–Condon energy, making non-radiative decay nearly barrierless,⁴³ while chromophore rigidity — not planarity alone — can be the decisive factor in engineered variants,⁴⁴ paralleling the independent B-factor-ratio signal reported here. This extends the findings of Megley et al.²⁷ from a small set of structures to 603. Within this dataset, τ and φ are negatively correlated across all structures (ρ = –0.357, p &lt; 0.001; Figure S3A), forming two parallel bands in the τ–φ plane corresponding to </w:t>
      </w:r>
      <w:r>
        <w:rPr>
          <w:rFonts w:ascii="Times New Roman" w:hAnsi="Times New Roman"/>
          <w:i/>
          <w:sz w:val="24"/>
        </w:rPr>
        <w:t>cis</w:t>
      </w:r>
      <w:r>
        <w:rPr>
          <w:rFonts w:ascii="Times New Roman" w:hAnsi="Times New Roman"/>
          <w:sz w:val="24"/>
        </w:rPr>
        <w:t xml:space="preserve"> and </w:t>
      </w:r>
      <w:r>
        <w:rPr>
          <w:rFonts w:ascii="Times New Roman" w:hAnsi="Times New Roman"/>
          <w:i/>
          <w:sz w:val="24"/>
        </w:rPr>
        <w:t>trans</w:t>
      </w:r>
      <w:r>
        <w:rPr>
          <w:rFonts w:ascii="Times New Roman" w:hAnsi="Times New Roman"/>
          <w:sz w:val="24"/>
        </w:rPr>
        <w:t xml:space="preserve"> configurations. This anticorrelation primarily reflects the bimodal distribution of configurational states: </w:t>
      </w:r>
      <w:r>
        <w:rPr>
          <w:rFonts w:ascii="Times New Roman" w:hAnsi="Times New Roman"/>
          <w:i/>
          <w:sz w:val="24"/>
        </w:rPr>
        <w:t>cis</w:t>
      </w:r>
      <w:r>
        <w:rPr>
          <w:rFonts w:ascii="Times New Roman" w:hAnsi="Times New Roman"/>
          <w:sz w:val="24"/>
        </w:rPr>
        <w:t xml:space="preserve"> structures (τ ≈ 0°) and </w:t>
      </w:r>
      <w:r>
        <w:rPr>
          <w:rFonts w:ascii="Times New Roman" w:hAnsi="Times New Roman"/>
          <w:i/>
          <w:sz w:val="24"/>
        </w:rPr>
        <w:t>trans</w:t>
      </w:r>
      <w:r>
        <w:rPr>
          <w:rFonts w:ascii="Times New Roman" w:hAnsi="Times New Roman"/>
          <w:sz w:val="24"/>
        </w:rPr>
        <w:t xml:space="preserve">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w:t>
      </w:r>
      <w:r>
        <w:rPr>
          <w:rFonts w:ascii="Times New Roman" w:hAnsi="Times New Roman"/>
          <w:i/>
          <w:sz w:val="24"/>
        </w:rPr>
        <w:t>Trans</w:t>
      </w:r>
      <w:r>
        <w:rPr>
          <w:rFonts w:ascii="Times New Roman" w:hAnsi="Times New Roman"/>
          <w:sz w:val="24"/>
        </w:rPr>
        <w:t xml:space="preserve">-configured chromophores had higher eccentricity than </w:t>
      </w:r>
      <w:r>
        <w:rPr>
          <w:rFonts w:ascii="Times New Roman" w:hAnsi="Times New Roman"/>
          <w:i/>
          <w:sz w:val="24"/>
        </w:rPr>
        <w:t>cis</w:t>
      </w:r>
      <w:r>
        <w:rPr>
          <w:rFonts w:ascii="Times New Roman" w:hAnsi="Times New Roman"/>
          <w:sz w:val="24"/>
        </w:rPr>
        <w:t xml:space="preserve"> (0.44 vs 0.40, p &lt; 0.001), lower circularity (0.918 vs 0.923, p = 0.019), and narrower minor axes (29.2 vs 29.6 Å, p = 0.003; Figure S4). The full dihedral analysis is shown in Figure S3. In panel C, the signed sum τ + φ falls into three groups — a central cluster near 0° (</w:t>
      </w:r>
      <w:r>
        <w:rPr>
          <w:rFonts w:ascii="Times New Roman" w:hAnsi="Times New Roman"/>
          <w:i/>
          <w:sz w:val="24"/>
        </w:rPr>
        <w:t>cis</w:t>
      </w:r>
      <w:r>
        <w:rPr>
          <w:rFonts w:ascii="Times New Roman" w:hAnsi="Times New Roman"/>
          <w:sz w:val="24"/>
        </w:rPr>
        <w:t xml:space="preserve"> chromophores) and two flanking clusters near ±200° (</w:t>
      </w:r>
      <w:r>
        <w:rPr>
          <w:rFonts w:ascii="Times New Roman" w:hAnsi="Times New Roman"/>
          <w:i/>
          <w:sz w:val="24"/>
        </w:rPr>
        <w:t>trans</w:t>
      </w:r>
      <w:r>
        <w:rPr>
          <w:rFonts w:ascii="Times New Roman" w:hAnsi="Times New Roman"/>
          <w:sz w:val="24"/>
        </w:rPr>
        <w:t xml:space="preserve"> chromophores, split by the sign of the wrapped dihedrals) — so the visible structure reflects the discrete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configurations rather than a continuous emission trend, with red-shifted variants sitting toward the top of each cluster. Panel B instead plots the symmetry-folded distance from planar, which collapses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and ring-flip degeneracies: most chromophores lie near planar and are bright, while a sparse tail of strongly twisted chromophores — predominantly red FPs, including the isolated point beyond 90° — are consistently dimmer, giving the negative distance-from-planar–quantum-yield association.</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S5.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modest R² values of both the linear (0.18) and Random Forest (0.18) models are expected and informative rather than a deficiency: quantum yield is set at the electronic-structure level — by excited-state potential-energy-surface topology, conical-intersection accessibility,⁴³ chromophore protonation and intramolecular charge transfer, local electrostatic fields, and dark-state-mediated pathways — none of which is encoded in a static ground-state crystal geometry. A structure-only predictor therefore has a natural ceiling; the companion study, adding hydrogen-bond and electrostatic descriptors, reaches only a leave-one-protein-out rank correlation of ≈ 0.44,⁴² and rigidity itself can outweigh geometry in individual variants.⁴⁴ Our models are best read as identifying which static structural features carry reproducible quantum-yield signal (chromophore-to-barrel rigidity and ground-state planarity), not as quantitative predictors of brightness.</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 chromophore chemistry,⁴⁷ protonation state and electrostatic environment,⁴⁶ and excited-state dynamics⁴⁵ —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S6.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and the PDB itself is not a random sample of all FPs — heavily studied variants such as GFP and mCherry are overrepresented while many natural and engineered FPs have no deposited structure. We addressed sampling imbalance and pseudoreplication directly (Table S7). Using a granular per-protein identity (430 unique proteins in the cohort, assigned by matched FPbase entry and chain-A sequence rather than by generic name), the principal correlations are preserved or strengthened when replicate crystals are collapsed to one entry per protein — redundancy attenuated rather than inflated them. They also hold in a monomer-only re-run (emission vs minor axis ρ = –0.46; FQY vs B-factor ratio ρ = –0.51), ruling out oligomeric-packing artifacts, and the emission–geometry relationship holds within the green class alone (minor axis ρ = –0.20, p = 3 × 10⁻⁵). The blue (n = 10) and orange (n = 11) classes are too small for within-class inference and are reported descriptively only. We therefore restrict within-class quantitative claims to the well-sampled green, red, cyan, and yellow classes, and note that the family-wide correlations are robust across the monomeric subset;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S7) and barrel geometry by chromophore type (Figure S8)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–0.49 per unique FP), with the chromophore’s own ground-state planarity an independent signal of comparable strength (ρ = –0.42) whose red-FP–specific structure is resolved by a companion torsional-scan analysis.⁴²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 [companion paper; this work is cited therein]</w:t>
      </w:r>
    </w:p>
    <w:p>
      <w:pPr>
        <w:spacing w:line="360" w:lineRule="auto"/>
        <w:ind w:left="720" w:hanging="720"/>
      </w:pPr>
      <w:r>
        <w:rPr>
          <w:rFonts w:ascii="Times New Roman" w:hAnsi="Times New Roman"/>
          <w:sz w:val="20"/>
        </w:rPr>
        <w:t>(43) Pieri, E.; Walker, A. R.; Zhu, M.; Martínez, T. J. Conical Intersection Accessibility Dictates Brightness in Red Fluorescent Proteins. J. Am. Chem. Soc. 2024, 146, 17646–17658.</w:t>
      </w:r>
    </w:p>
    <w:p>
      <w:pPr>
        <w:spacing w:line="360" w:lineRule="auto"/>
        <w:ind w:left="720" w:hanging="720"/>
      </w:pPr>
      <w:r>
        <w:rPr>
          <w:rFonts w:ascii="Times New Roman" w:hAnsi="Times New Roman"/>
          <w:sz w:val="20"/>
        </w:rPr>
        <w:t>(44) Chen, C.; Pathiranage, V.; Ong, W. S. Y.; Dodani, S. C.; Walker, A. R.; Fang, C. A Twisted Chromophore Powers a Turn-On Fluorescent Protein Chloride Sensor. Proc. Natl. Acad. Sci. U. S. A. 2025, 122, e2508094122.</w:t>
      </w:r>
    </w:p>
    <w:p>
      <w:pPr>
        <w:spacing w:line="360" w:lineRule="auto"/>
        <w:ind w:left="720" w:hanging="720"/>
      </w:pPr>
      <w:r>
        <w:rPr>
          <w:rFonts w:ascii="Times New Roman" w:hAnsi="Times New Roman"/>
          <w:sz w:val="20"/>
        </w:rPr>
        <w:t>(45) Meech, S. R. Excited-State Reactions in Fluorescent Proteins. Chem. Soc. Rev. 2009, 38, 2922–2934.</w:t>
      </w:r>
    </w:p>
    <w:p>
      <w:pPr>
        <w:spacing w:line="360" w:lineRule="auto"/>
        <w:ind w:left="720" w:hanging="720"/>
      </w:pPr>
      <w:r>
        <w:rPr>
          <w:rFonts w:ascii="Times New Roman" w:hAnsi="Times New Roman"/>
          <w:sz w:val="20"/>
        </w:rPr>
        <w:t>(46) Park, J. W.; Rhee, Y. M. Electric Field Keeps Chromophore Planar and Produces High Yield Fluorescence in Green Fluorescent Protein. J. Am. Chem. Soc. 2016, 138, 13619–13629.</w:t>
      </w:r>
    </w:p>
    <w:p>
      <w:pPr>
        <w:spacing w:line="360" w:lineRule="auto"/>
        <w:ind w:left="720" w:hanging="720"/>
      </w:pPr>
      <w:r>
        <w:rPr>
          <w:rFonts w:ascii="Times New Roman" w:hAnsi="Times New Roman"/>
          <w:sz w:val="20"/>
        </w:rPr>
        <w:t>(47) Jones, C. M.; List, N. H.; Martínez, T. J. Steric and Electronic Origins of Fluorescence in GFP and GFP-like Proteins. J. Am. Chem. Soc. 2022, 144, 12732–12746.</w:t>
      </w:r>
    </w:p>
    <w:p>
      <w:r>
        <w:br w:type="page"/>
      </w:r>
    </w:p>
    <w:p>
      <w:r>
        <w:rPr>
          <w:rFonts w:ascii="Times New Roman" w:hAnsi="Times New Roman"/>
          <w:b/>
          <w:sz w:val="28"/>
        </w:rPr>
        <w:t>Supporting Information</w:t>
      </w:r>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Table S6. Per-unique-FP quantum-yield correlations for the two independent ground-state structural predictors, computed with replicate crystals collapsed to one entry per protein by median (n = 123 unique FPs with both metrics, no spectral gate), on the same footing as the companion torsional-scan study.⁴² Ground-state planarity is the symmetry-folded distance from the deposited (τ, φ) to the nearest planar reference; chromophore planarity (ρ = –0.42) and the chromophore/barrel B-factor ratio (ρ = –0.49) each survive adjustment for the other (partial ρ = –0.35 and –0.43), confirming two distinct, independent structural routes to quantum yield (provided as a CSV file).</w:t>
      </w:r>
    </w:p>
    <w:p>
      <w:pPr>
        <w:spacing w:line="480" w:lineRule="auto"/>
        <w:ind w:firstLine="720"/>
      </w:pPr>
      <w:r>
        <w:rPr>
          <w:rFonts w:ascii="Times New Roman" w:hAnsi="Times New Roman"/>
          <w:sz w:val="24"/>
        </w:rPr>
        <w:t>Table S7. Sampling and pseudoreplication robustness. Each key correlation is re-evaluated under several subsampling regimes: the full cohort (per structure), per unique FP (granular protein identity), monomer-only (per unique FP; oligomeric state from FPbase), excluding the two smallest classes (blue + orange), and within the green class alone. The correlations are preserved or strengthened under per-protein collapse and in the monomer-only subset, and the emission–geometry relationship holds within green alone, indicating the findings are not artifacts of oligomeric packing, redundant crystal entries, or green-class dominance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error—confidently wrong results from incomplete pattern matching—was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pPr>
        <w:spacing w:line="480" w:lineRule="auto"/>
        <w:ind w:firstLine="720"/>
      </w:pPr>
      <w:r>
        <w:rPr>
          <w:rFonts w:ascii="Times New Roman" w:hAnsi="Times New Roman"/>
          <w:sz w:val="24"/>
        </w:rPr>
        <w:t>Code and Data Availability. All Python scripts used for CIF parsing, PCA-based barrel axis determination, cross-sectional slicing, convex hull analysis, spectral data matching, B-factor extraction, dihedral angle computation, statistical analysis, and figure generation were generated with the assistance of Claude (Anthropic) via Claude Code and are available at https://github.com/LukeBegg1/gfp-barrel-geometry. The complete dataset (Table S1) is provided as a CSV file in the Supporting Information.</w:t>
      </w:r>
    </w:p>
    <w:p>
      <w:r>
        <w:br w:type="page"/>
      </w:r>
    </w:p>
    <w:p>
      <w:pPr>
        <w:keepNext/>
        <w:jc w:val="center"/>
      </w:pPr>
      <w:r>
        <w:drawing>
          <wp:inline xmlns:a="http://schemas.openxmlformats.org/drawingml/2006/main" xmlns:pic="http://schemas.openxmlformats.org/drawingml/2006/picture">
            <wp:extent cx="5943600" cy="3834342"/>
            <wp:docPr id="4" name="Picture 4"/>
            <wp:cNvGraphicFramePr>
              <a:graphicFrameLocks noChangeAspect="1"/>
            </wp:cNvGraphicFramePr>
            <a:graphic>
              <a:graphicData uri="http://schemas.openxmlformats.org/drawingml/2006/picture">
                <pic:pic>
                  <pic:nvPicPr>
                    <pic:cNvPr id="0" name="figS1_chromophore_effect.png"/>
                    <pic:cNvPicPr/>
                  </pic:nvPicPr>
                  <pic:blipFill>
                    <a:blip r:embed="rId13"/>
                    <a:stretch>
                      <a:fillRect/>
                    </a:stretch>
                  </pic:blipFill>
                  <pic:spPr>
                    <a:xfrm>
                      <a:off x="0" y="0"/>
                      <a:ext cx="5943600" cy="3834342"/>
                    </a:xfrm>
                    <a:prstGeom prst="rect"/>
                  </pic:spPr>
                </pic:pic>
              </a:graphicData>
            </a:graphic>
          </wp:inline>
        </w:drawing>
      </w:r>
    </w:p>
    <w:p>
      <w:pPr>
        <w:keepLines/>
        <w:spacing w:after="120"/>
        <w:jc w:val="left"/>
      </w:pPr>
      <w:r>
        <w:rPr>
          <w:rFonts w:ascii="Times New Roman" w:hAnsi="Times New Roman"/>
          <w:sz w:val="20"/>
        </w:rPr>
        <w:t>S1.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943600" cy="4810019"/>
            <wp:docPr id="5" name="Picture 5"/>
            <wp:cNvGraphicFramePr>
              <a:graphicFrameLocks noChangeAspect="1"/>
            </wp:cNvGraphicFramePr>
            <a:graphic>
              <a:graphicData uri="http://schemas.openxmlformats.org/drawingml/2006/picture">
                <pic:pic>
                  <pic:nvPicPr>
                    <pic:cNvPr id="0" name="figS2_color_class.png"/>
                    <pic:cNvPicPr/>
                  </pic:nvPicPr>
                  <pic:blipFill>
                    <a:blip r:embed="rId14"/>
                    <a:stretch>
                      <a:fillRect/>
                    </a:stretch>
                  </pic:blipFill>
                  <pic:spPr>
                    <a:xfrm>
                      <a:off x="0" y="0"/>
                      <a:ext cx="5943600" cy="4810019"/>
                    </a:xfrm>
                    <a:prstGeom prst="rect"/>
                  </pic:spPr>
                </pic:pic>
              </a:graphicData>
            </a:graphic>
          </wp:inline>
        </w:drawing>
      </w:r>
    </w:p>
    <w:p>
      <w:pPr>
        <w:keepLines/>
        <w:spacing w:after="120"/>
        <w:jc w:val="left"/>
      </w:pPr>
      <w:r>
        <w:rPr>
          <w:rFonts w:ascii="Times New Roman" w:hAnsi="Times New Roman"/>
          <w:sz w:val="20"/>
        </w:rPr>
        <w:t>S2.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029200" cy="6507110"/>
            <wp:docPr id="6" name="Picture 6"/>
            <wp:cNvGraphicFramePr>
              <a:graphicFrameLocks noChangeAspect="1"/>
            </wp:cNvGraphicFramePr>
            <a:graphic>
              <a:graphicData uri="http://schemas.openxmlformats.org/drawingml/2006/picture">
                <pic:pic>
                  <pic:nvPicPr>
                    <pic:cNvPr id="0" name="figS3_megley.png"/>
                    <pic:cNvPicPr/>
                  </pic:nvPicPr>
                  <pic:blipFill>
                    <a:blip r:embed="rId15"/>
                    <a:stretch>
                      <a:fillRect/>
                    </a:stretch>
                  </pic:blipFill>
                  <pic:spPr>
                    <a:xfrm>
                      <a:off x="0" y="0"/>
                      <a:ext cx="5029200" cy="6507110"/>
                    </a:xfrm>
                    <a:prstGeom prst="rect"/>
                  </pic:spPr>
                </pic:pic>
              </a:graphicData>
            </a:graphic>
          </wp:inline>
        </w:drawing>
      </w:r>
    </w:p>
    <w:p>
      <w:pPr>
        <w:keepLines/>
        <w:spacing w:after="120"/>
        <w:jc w:val="left"/>
      </w:pPr>
      <w:r>
        <w:rPr>
          <w:rFonts w:ascii="Times New Roman" w:hAnsi="Times New Roman"/>
          <w:sz w:val="20"/>
        </w:rPr>
        <w:t>S3. Chromophore dihedral analysis. (A) τ vs φ plot colored by emission class. (B) Ground-state planarity (distance from the nearest planar reference, folding the phenol symmetry) vs quantum yield; the panel shows all canonical structures (per-structure ρ = –0.32), while the per-unique-FP value is ρ = –0.42 (Table S6). (C) Dihedral sum (τ + φ) vs emission wavelength.</w:t>
      </w:r>
    </w:p>
    <w:p/>
    <w:p>
      <w:r>
        <w:br w:type="page"/>
      </w:r>
    </w:p>
    <w:p>
      <w:pPr>
        <w:keepNext/>
        <w:jc w:val="center"/>
      </w:pPr>
      <w:r>
        <w:drawing>
          <wp:inline xmlns:a="http://schemas.openxmlformats.org/drawingml/2006/main" xmlns:pic="http://schemas.openxmlformats.org/drawingml/2006/picture">
            <wp:extent cx="5943600" cy="4730620"/>
            <wp:docPr id="7" name="Picture 7"/>
            <wp:cNvGraphicFramePr>
              <a:graphicFrameLocks noChangeAspect="1"/>
            </wp:cNvGraphicFramePr>
            <a:graphic>
              <a:graphicData uri="http://schemas.openxmlformats.org/drawingml/2006/picture">
                <pic:pic>
                  <pic:nvPicPr>
                    <pic:cNvPr id="0" name="figS4_cis_trans.png"/>
                    <pic:cNvPicPr/>
                  </pic:nvPicPr>
                  <pic:blipFill>
                    <a:blip r:embed="rId16"/>
                    <a:stretch>
                      <a:fillRect/>
                    </a:stretch>
                  </pic:blipFill>
                  <pic:spPr>
                    <a:xfrm>
                      <a:off x="0" y="0"/>
                      <a:ext cx="5943600" cy="4730620"/>
                    </a:xfrm>
                    <a:prstGeom prst="rect"/>
                  </pic:spPr>
                </pic:pic>
              </a:graphicData>
            </a:graphic>
          </wp:inline>
        </w:drawing>
      </w:r>
    </w:p>
    <w:p>
      <w:pPr>
        <w:keepLines/>
        <w:spacing w:after="120"/>
        <w:jc w:val="left"/>
      </w:pPr>
      <w:r>
        <w:rPr>
          <w:rFonts w:ascii="Times New Roman" w:hAnsi="Times New Roman"/>
          <w:sz w:val="20"/>
        </w:rPr>
        <w:t>S4. Barrel geometry by chromophore configuration (</w:t>
      </w:r>
      <w:r>
        <w:rPr>
          <w:rFonts w:ascii="Times New Roman" w:hAnsi="Times New Roman"/>
          <w:i/>
          <w:sz w:val="20"/>
        </w:rPr>
        <w:t>cis</w:t>
      </w:r>
      <w:r>
        <w:rPr>
          <w:rFonts w:ascii="Times New Roman" w:hAnsi="Times New Roman"/>
          <w:sz w:val="20"/>
        </w:rPr>
        <w:t xml:space="preserve">, </w:t>
      </w:r>
      <w:r>
        <w:rPr>
          <w:rFonts w:ascii="Times New Roman" w:hAnsi="Times New Roman"/>
          <w:i/>
          <w:sz w:val="20"/>
        </w:rPr>
        <w:t>trans</w:t>
      </w:r>
      <w:r>
        <w:rPr>
          <w:rFonts w:ascii="Times New Roman" w:hAnsi="Times New Roman"/>
          <w:sz w:val="20"/>
        </w:rPr>
        <w:t>, and twisted).</w:t>
      </w:r>
    </w:p>
    <w:p/>
    <w:p>
      <w:r>
        <w:br w:type="page"/>
      </w:r>
    </w:p>
    <w:p>
      <w:pPr>
        <w:keepNext/>
        <w:jc w:val="center"/>
      </w:pPr>
      <w:r>
        <w:drawing>
          <wp:inline xmlns:a="http://schemas.openxmlformats.org/drawingml/2006/main" xmlns:pic="http://schemas.openxmlformats.org/drawingml/2006/picture">
            <wp:extent cx="5943600" cy="4733371"/>
            <wp:docPr id="8" name="Picture 8"/>
            <wp:cNvGraphicFramePr>
              <a:graphicFrameLocks noChangeAspect="1"/>
            </wp:cNvGraphicFramePr>
            <a:graphic>
              <a:graphicData uri="http://schemas.openxmlformats.org/drawingml/2006/picture">
                <pic:pic>
                  <pic:nvPicPr>
                    <pic:cNvPr id="0" name="figS5_resolution.png"/>
                    <pic:cNvPicPr/>
                  </pic:nvPicPr>
                  <pic:blipFill>
                    <a:blip r:embed="rId17"/>
                    <a:stretch>
                      <a:fillRect/>
                    </a:stretch>
                  </pic:blipFill>
                  <pic:spPr>
                    <a:xfrm>
                      <a:off x="0" y="0"/>
                      <a:ext cx="5943600" cy="4733371"/>
                    </a:xfrm>
                    <a:prstGeom prst="rect"/>
                  </pic:spPr>
                </pic:pic>
              </a:graphicData>
            </a:graphic>
          </wp:inline>
        </w:drawing>
      </w:r>
    </w:p>
    <w:p>
      <w:pPr>
        <w:keepLines/>
        <w:spacing w:after="120"/>
        <w:jc w:val="left"/>
      </w:pPr>
      <w:r>
        <w:rPr>
          <w:rFonts w:ascii="Times New Roman" w:hAnsi="Times New Roman"/>
          <w:sz w:val="20"/>
        </w:rPr>
        <w:t>S5.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3920669"/>
            <wp:docPr id="9" name="Picture 9"/>
            <wp:cNvGraphicFramePr>
              <a:graphicFrameLocks noChangeAspect="1"/>
            </wp:cNvGraphicFramePr>
            <a:graphic>
              <a:graphicData uri="http://schemas.openxmlformats.org/drawingml/2006/picture">
                <pic:pic>
                  <pic:nvPicPr>
                    <pic:cNvPr id="0" name="figS6_alphafold_paired.png"/>
                    <pic:cNvPicPr/>
                  </pic:nvPicPr>
                  <pic:blipFill>
                    <a:blip r:embed="rId18"/>
                    <a:stretch>
                      <a:fillRect/>
                    </a:stretch>
                  </pic:blipFill>
                  <pic:spPr>
                    <a:xfrm>
                      <a:off x="0" y="0"/>
                      <a:ext cx="5943600" cy="3920669"/>
                    </a:xfrm>
                    <a:prstGeom prst="rect"/>
                  </pic:spPr>
                </pic:pic>
              </a:graphicData>
            </a:graphic>
          </wp:inline>
        </w:drawing>
      </w:r>
    </w:p>
    <w:p>
      <w:pPr>
        <w:keepLines/>
        <w:spacing w:after="120"/>
        <w:jc w:val="left"/>
      </w:pPr>
      <w:r>
        <w:rPr>
          <w:rFonts w:ascii="Times New Roman" w:hAnsi="Times New Roman"/>
          <w:sz w:val="20"/>
        </w:rPr>
        <w:t>S6.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p>
      <w:r>
        <w:br w:type="page"/>
      </w:r>
    </w:p>
    <w:p>
      <w:pPr>
        <w:keepNext/>
        <w:jc w:val="center"/>
      </w:pPr>
      <w:r>
        <w:drawing>
          <wp:inline xmlns:a="http://schemas.openxmlformats.org/drawingml/2006/main" xmlns:pic="http://schemas.openxmlformats.org/drawingml/2006/picture">
            <wp:extent cx="5943600" cy="5163140"/>
            <wp:docPr id="10" name="Picture 10"/>
            <wp:cNvGraphicFramePr>
              <a:graphicFrameLocks noChangeAspect="1"/>
            </wp:cNvGraphicFramePr>
            <a:graphic>
              <a:graphicData uri="http://schemas.openxmlformats.org/drawingml/2006/picture">
                <pic:pic>
                  <pic:nvPicPr>
                    <pic:cNvPr id="0" name="figS7_heatmap.png"/>
                    <pic:cNvPicPr/>
                  </pic:nvPicPr>
                  <pic:blipFill>
                    <a:blip r:embed="rId19"/>
                    <a:stretch>
                      <a:fillRect/>
                    </a:stretch>
                  </pic:blipFill>
                  <pic:spPr>
                    <a:xfrm>
                      <a:off x="0" y="0"/>
                      <a:ext cx="5943600" cy="5163140"/>
                    </a:xfrm>
                    <a:prstGeom prst="rect"/>
                  </pic:spPr>
                </pic:pic>
              </a:graphicData>
            </a:graphic>
          </wp:inline>
        </w:drawing>
      </w:r>
    </w:p>
    <w:p>
      <w:pPr>
        <w:keepLines/>
        <w:spacing w:after="120"/>
        <w:jc w:val="left"/>
      </w:pPr>
      <w:r>
        <w:rPr>
          <w:rFonts w:ascii="Times New Roman" w:hAnsi="Times New Roman"/>
          <w:sz w:val="20"/>
        </w:rPr>
        <w:t>S7.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80615"/>
            <wp:docPr id="11" name="Picture 11"/>
            <wp:cNvGraphicFramePr>
              <a:graphicFrameLocks noChangeAspect="1"/>
            </wp:cNvGraphicFramePr>
            <a:graphic>
              <a:graphicData uri="http://schemas.openxmlformats.org/drawingml/2006/picture">
                <pic:pic>
                  <pic:nvPicPr>
                    <pic:cNvPr id="0" name="figS8_chromophore_types.png"/>
                    <pic:cNvPicPr/>
                  </pic:nvPicPr>
                  <pic:blipFill>
                    <a:blip r:embed="rId20"/>
                    <a:stretch>
                      <a:fillRect/>
                    </a:stretch>
                  </pic:blipFill>
                  <pic:spPr>
                    <a:xfrm>
                      <a:off x="0" y="0"/>
                      <a:ext cx="5943600" cy="6280615"/>
                    </a:xfrm>
                    <a:prstGeom prst="rect"/>
                  </pic:spPr>
                </pic:pic>
              </a:graphicData>
            </a:graphic>
          </wp:inline>
        </w:drawing>
      </w:r>
    </w:p>
    <w:p>
      <w:pPr>
        <w:keepLines/>
        <w:spacing w:after="120"/>
        <w:jc w:val="left"/>
      </w:pPr>
      <w:r>
        <w:rPr>
          <w:rFonts w:ascii="Times New Roman" w:hAnsi="Times New Roman"/>
          <w:sz w:val="20"/>
        </w:rPr>
        <w:t>S8. Barrel geometry by chromophore residue type. Chromophore codes with n &lt; 5 are omitted for legibility; this excludes the four His66-derived (blue) codes (IIC, CRG, CSH, XXY; n = 1, 3, 4, and 1 respectively).</w:t>
      </w:r>
    </w:p>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