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Summary of Post-Submission Data Re-Curation</w:t>
      </w:r>
    </w:p>
    <w:p>
      <w:pPr>
        <w:jc w:val="center"/>
      </w:pPr>
      <w:r>
        <w:rPr>
          <w:i/>
          <w:sz w:val="22"/>
        </w:rPr>
        <w:t>Manuscript: “Barrel Shape and Chromophore Rigidity Predict Fluorescent-Protein Photophysics”</w:t>
        <w:br/>
        <w:t>L. P. Begg, M. L. Mason, M. Zimmer</w:t>
      </w:r>
    </w:p>
    <w:p/>
    <w:p>
      <w:pPr>
        <w:spacing w:after="160"/>
        <w:jc w:val="both"/>
      </w:pPr>
      <w:r>
        <w:t>Following submission of our manuscript, we carried out an additional round of data-quality review and identified an opportunity to materially strengthen the rigor of our quantum-yield (QY) analysis. We are writing to describe this re-curation and its effects, which we believe improve the manuscript, and to offer the editor an updated version at the appropriate stage. The change is fully scripted and reproducible, and affects only the QY-dependent portion of the study; the remainder of the paper is unchanged.</w:t>
      </w:r>
    </w:p>
    <w:p>
      <w:r>
        <w:rPr>
          <w:b/>
          <w:color w:val="1F3B57"/>
          <w:sz w:val="28"/>
        </w:rPr>
        <w:t>1. The data-quality issue we addressed</w:t>
      </w:r>
    </w:p>
    <w:p>
      <w:pPr>
        <w:spacing w:after="160"/>
        <w:jc w:val="both"/>
      </w:pPr>
      <w:r>
        <w:t>Public fluorescent-protein databases frequently propagate the wild-type avGFP quantum yield (0.79) to many entries by keyword inheritance. In the dataset as originally analyzed, this affected the great majority of QY annotations: 82% of structures with a QY value carried 0.79, every green-emitting structure shared that single value, and only 14 distinct QY values were present across the entire dataset. Consequently, several QY correlations partly reflected differences between color classes rather than genuine within-class photophysical variation. Recognizing and correcting this is, in our view, an important strengthening of the work.</w:t>
      </w:r>
    </w:p>
    <w:p>
      <w:r>
        <w:rPr>
          <w:b/>
          <w:color w:val="1F3B57"/>
          <w:sz w:val="28"/>
        </w:rPr>
        <w:t>2. The correction</w:t>
      </w:r>
    </w:p>
    <w:p>
      <w:pPr>
        <w:spacing w:after="160"/>
        <w:jc w:val="both"/>
      </w:pPr>
      <w:r>
        <w:t>We re-curated QY values directly from FPbase. Each crystal structure was matched to an FPbase entry by PDB identifier where available, and otherwise by chain-A sequence at ≥ 99% identity. This recovered curated QY values for 354 structures spanning the full physical range (0.0001–0.97), replacing the 14-value keyword annotations. The original annotations are retained for provenance, and the entire procedure is implemented as a documented, reproducible script.</w:t>
      </w:r>
    </w:p>
    <w:p>
      <w:r>
        <w:rPr>
          <w:b/>
          <w:color w:val="1F3B57"/>
          <w:sz w:val="28"/>
        </w:rPr>
        <w:t>3. How this refines our findings</w:t>
      </w:r>
    </w:p>
    <w:p>
      <w:pPr>
        <w:spacing w:after="160"/>
        <w:jc w:val="both"/>
      </w:pPr>
      <w:r>
        <w:t>The corrected analysis sharpens our quantum-yield conclusion while leaving the barrel-geometry results that are the focus of the paper intact:</w:t>
      </w:r>
    </w:p>
    <w:p>
      <w:pPr>
        <w:pStyle w:val="ListBullet"/>
        <w:spacing w:after="80"/>
      </w:pPr>
      <w:r>
        <w:t>Quantum yield is not governed by barrel size. It tracks instead how rigidly the barrel holds the chromophore — the chromophore-to-barrel B-factor ratio (ρ = –0.49 per unique protein) — together with the chromophore’s ground-state planarity (ρ = –0.42) as an independent signal of comparable strength. This replaces the single-predictor framing of the submitted version, in which the B-factor ratio alone appeared strongest because the uncurated quantum yields inflated that correlation.</w:t>
      </w:r>
    </w:p>
    <w:p>
      <w:pPr>
        <w:pStyle w:val="ListBullet"/>
        <w:spacing w:after="80"/>
      </w:pPr>
      <w:r>
        <w:t>We corrected a metric artifact in the chromophore-twist measure: an unfolded |τ| + |φ| sum mis-scores ring-flipped chromophores (for example, near-planar mScarlet is read as maximally twisted). A symmetry-folded distance-from-planar metric removes this, and all quantum-yield statistics are now reported per unique protein, one data point per fluorescent protein.</w:t>
      </w:r>
    </w:p>
    <w:p>
      <w:pPr>
        <w:pStyle w:val="ListBullet"/>
        <w:spacing w:after="80"/>
      </w:pPr>
      <w:r>
        <w:t>The refined conclusion is consistent with, and cross-referenced to, a companion structural analysis of chromophore torsional space in the same protein family, so the two studies now present one coherent account.</w:t>
      </w:r>
    </w:p>
    <w:p>
      <w:pPr>
        <w:spacing w:after="160"/>
        <w:jc w:val="both"/>
      </w:pPr>
      <w:r>
        <w:t>We regard this as a net gain: the quantum-yield analysis is more rigorous, and the barrel remains the protagonist — its shape sets emission wavelength, and how tightly it holds the chromophore sets quantum yield.</w:t>
      </w:r>
    </w:p>
    <w:p>
      <w:r>
        <w:rPr>
          <w:b/>
          <w:color w:val="1F3B57"/>
          <w:sz w:val="26"/>
        </w:rPr>
        <w:t>4. Summary of the principal numerical changes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Quantity</w:t>
            </w:r>
          </w:p>
        </w:tc>
        <w:tc>
          <w:tcPr>
            <w:tcW w:type="dxa" w:w="2880"/>
          </w:tcPr>
          <w:p>
            <w:r>
              <w:rPr>
                <w:b/>
              </w:rPr>
              <w:t>As submitted</w:t>
            </w:r>
          </w:p>
        </w:tc>
        <w:tc>
          <w:tcPr>
            <w:tcW w:type="dxa" w:w="2880"/>
          </w:tcPr>
          <w:p>
            <w:r>
              <w:rPr>
                <w:b/>
              </w:rPr>
              <w:t>Corrected</w:t>
            </w:r>
          </w:p>
        </w:tc>
      </w:tr>
      <w:tr>
        <w:tc>
          <w:tcPr>
            <w:tcW w:type="dxa" w:w="2880"/>
          </w:tcPr>
          <w:p>
            <w:r>
              <w:t>Quantum-yield values in dataset</w:t>
            </w:r>
          </w:p>
        </w:tc>
        <w:tc>
          <w:tcPr>
            <w:tcW w:type="dxa" w:w="2880"/>
          </w:tcPr>
          <w:p>
            <w:r>
              <w:t>14 distinct (82% = avGFP 0.79)</w:t>
            </w:r>
          </w:p>
        </w:tc>
        <w:tc>
          <w:tcPr>
            <w:tcW w:type="dxa" w:w="2880"/>
          </w:tcPr>
          <w:p>
            <w:r>
              <w:t>354 curated from FPbase (0.0001–0.97)</w:t>
            </w:r>
          </w:p>
        </w:tc>
      </w:tr>
      <w:tr>
        <w:tc>
          <w:tcPr>
            <w:tcW w:type="dxa" w:w="2880"/>
          </w:tcPr>
          <w:p>
            <w:r>
              <w:t>Primary QY conclusion</w:t>
            </w:r>
          </w:p>
        </w:tc>
        <w:tc>
          <w:tcPr>
            <w:tcW w:type="dxa" w:w="2880"/>
          </w:tcPr>
          <w:p>
            <w:r>
              <w:t>B-factor ratio is the single strongest predictor (ρ = –0.443)</w:t>
            </w:r>
          </w:p>
        </w:tc>
        <w:tc>
          <w:tcPr>
            <w:tcW w:type="dxa" w:w="2880"/>
          </w:tcPr>
          <w:p>
            <w:r>
              <w:t>Two independent signals: chromophore-to-barrel B-factor ratio (ρ = –0.49) and chromophore ground-state planarity (ρ = –0.42); barrel size is not predictive</w:t>
            </w:r>
          </w:p>
        </w:tc>
      </w:tr>
      <w:tr>
        <w:tc>
          <w:tcPr>
            <w:tcW w:type="dxa" w:w="2880"/>
          </w:tcPr>
          <w:p>
            <w:r>
              <w:t>Chromophore-twist metric</w:t>
            </w:r>
          </w:p>
        </w:tc>
        <w:tc>
          <w:tcPr>
            <w:tcW w:type="dxa" w:w="2880"/>
          </w:tcPr>
          <w:p>
            <w:r>
              <w:t>unfolded |τ| + |φ| sum</w:t>
            </w:r>
          </w:p>
        </w:tc>
        <w:tc>
          <w:tcPr>
            <w:tcW w:type="dxa" w:w="2880"/>
          </w:tcPr>
          <w:p>
            <w:r>
              <w:t>symmetry-folded distance-from-planar</w:t>
            </w:r>
          </w:p>
        </w:tc>
      </w:tr>
      <w:tr>
        <w:tc>
          <w:tcPr>
            <w:tcW w:type="dxa" w:w="2880"/>
          </w:tcPr>
          <w:p>
            <w:r>
              <w:t>QY aggregation</w:t>
            </w:r>
          </w:p>
        </w:tc>
        <w:tc>
          <w:tcPr>
            <w:tcW w:type="dxa" w:w="2880"/>
          </w:tcPr>
          <w:p>
            <w:r>
              <w:t>per crystal structure</w:t>
            </w:r>
          </w:p>
        </w:tc>
        <w:tc>
          <w:tcPr>
            <w:tcW w:type="dxa" w:w="2880"/>
          </w:tcPr>
          <w:p>
            <w:r>
              <w:t>per unique protein</w:t>
            </w:r>
          </w:p>
        </w:tc>
      </w:tr>
      <w:tr>
        <w:tc>
          <w:tcPr>
            <w:tcW w:type="dxa" w:w="2880"/>
          </w:tcPr>
          <w:p>
            <w:r>
              <w:t>Random-Forest OOB R² (QY)</w:t>
            </w:r>
          </w:p>
        </w:tc>
        <w:tc>
          <w:tcPr>
            <w:tcW w:type="dxa" w:w="2880"/>
          </w:tcPr>
          <w:p>
            <w:r>
              <w:t>0.42</w:t>
            </w:r>
          </w:p>
        </w:tc>
        <w:tc>
          <w:tcPr>
            <w:tcW w:type="dxa" w:w="2880"/>
          </w:tcPr>
          <w:p>
            <w:r>
              <w:t>0.18</w:t>
            </w:r>
          </w:p>
        </w:tc>
      </w:tr>
      <w:tr>
        <w:tc>
          <w:tcPr>
            <w:tcW w:type="dxa" w:w="2880"/>
          </w:tcPr>
          <w:p>
            <w:r>
              <w:t>Barrel shape vs emission wavelength</w:t>
            </w:r>
          </w:p>
        </w:tc>
        <w:tc>
          <w:tcPr>
            <w:tcW w:type="dxa" w:w="2880"/>
          </w:tcPr>
          <w:p>
            <w:r>
              <w:t>ρ = –0.329 (minor axis)</w:t>
            </w:r>
          </w:p>
        </w:tc>
        <w:tc>
          <w:tcPr>
            <w:tcW w:type="dxa" w:w="2880"/>
          </w:tcPr>
          <w:p>
            <w:r>
              <w:t>unchanged (ρ = –0.329)</w:t>
            </w:r>
          </w:p>
        </w:tc>
      </w:tr>
    </w:tbl>
    <w:p/>
    <w:p>
      <w:r>
        <w:rPr>
          <w:b/>
          <w:color w:val="1F3B57"/>
          <w:sz w:val="28"/>
        </w:rPr>
        <w:t>5. What is unchanged</w:t>
      </w:r>
    </w:p>
    <w:p>
      <w:pPr>
        <w:spacing w:after="160"/>
        <w:jc w:val="both"/>
      </w:pPr>
      <w:r>
        <w:t>The re-curation touches only QY-dependent results. The manuscript’s other principal findings are identical to the submitted version, including the relationship between barrel shape and emission wavelength (e.g., B-factor ratio vs emission, ρ = +0.42), the entire AlphaFold-versus-crystal paired comparison, and all barrel-geometry analyses. The core thesis — that the β-barrel is not a passive scaffold but constrains chromophore geometry and thereby shapes photophysical output — is preserved and, we would argue, reinforced.</w:t>
      </w:r>
    </w:p>
    <w:p>
      <w:r>
        <w:rPr>
          <w:b/>
          <w:color w:val="1F3B57"/>
          <w:sz w:val="28"/>
        </w:rPr>
        <w:t>6. Consistency and verification</w:t>
      </w:r>
    </w:p>
    <w:p>
      <w:pPr>
        <w:spacing w:after="160"/>
        <w:jc w:val="both"/>
      </w:pPr>
      <w:r>
        <w:t>All barrel-geometry statistics use the 780-structure canonical cohort throughout; the quantum-yield correlations are additionally reported per unique protein (new Table S6), on the same footing as the companion study. Tables S1, S2, S4, and S6, every figure, the multivariate model, and the Benjamini–Hochberg multiple-testing correction (45 of 63 tests surviving) were regenerated consistently from the curated data. We confirmed that every in-text statistic matches its corresponding table and figure, with no residual values from the earlier curation.</w:t>
      </w:r>
    </w:p>
    <w:p>
      <w:r>
        <w:rPr>
          <w:b/>
          <w:color w:val="1F3B57"/>
          <w:sz w:val="28"/>
        </w:rPr>
        <w:t>Closing</w:t>
      </w:r>
    </w:p>
    <w:p>
      <w:pPr>
        <w:spacing w:after="160"/>
        <w:jc w:val="both"/>
      </w:pPr>
      <w:r>
        <w:t>We undertook this re-curation in the interest of presenting the most rigorous possible version of the work, and we would be glad to provide a revised manuscript together with a tracked-changes file at the editor’s convenience. We are confident these refinements will be welcomed by the reviewers.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