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Pr>
        <w:jc w:val="center"/>
      </w:pPr>
      <w:r>
        <w:rPr>
          <w:rFonts w:ascii="Times New Roman" w:hAnsi="Times New Roman"/>
          <w:sz w:val="22"/>
        </w:rPr>
        <w:t>*Corresponding author. E-mail: mzim@conncoll.edu</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most pronounced among red fluorescent proteins, which span the widest range of ground-state twist.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(Table S5;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area, minor axis, and eccentricity,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ground-state geometry, thermal damping, and local electrostatics,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its concentration in red FPs, which span a wide range of ground-state twist, versus green FPs, which cluster near planar with little spread, is consistent with a torsional-energy-landscape origin of the brightness difference.⁴²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not planarity alone,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predominantly red FPs, including the isolated point beyond 90°,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by excited-state potential-energy-surface topology, conical-intersection accessibility,⁴³ chromophore protonation and intramolecular charge transfer, local electrostatic fields, and dark-state-mediated pathways, none of which is encoded in a static ground-state crystal geometry. A structure-only predictor therefore has a natural ceiling; adding richer structural descriptors such as hydrogen-bond counts and electrostatic terms yield only modest gains,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chemistry,⁴⁷ protonation state and electrostatic environment,⁴⁶ and excited-state dynamics⁴⁵, will also be important. The engineering successes of mTurquoise2,¹⁷ StayGold,⁴¹ and YuzuFP²⁸, each achieved through mutations altering chromophore–barrel packing, 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the AlphaFold area is only 11 Å² larger than the crystal mean (700 ± 49 vs 689 ± 41 Å², p = 1.5 × 10⁻⁴),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most pronounced among red FPs.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Chemistry Department, Connecticut College, New London, CT 06320, United States. ORCID: 0000-0000-0000-0000.</w:t>
      </w:r>
    </w:p>
    <w:p>
      <w:pPr>
        <w:spacing w:line="480" w:lineRule="auto"/>
        <w:ind w:firstLine="720"/>
      </w:pPr>
      <w:r>
        <w:rPr>
          <w:rFonts w:ascii="Times New Roman" w:hAnsi="Times New Roman"/>
          <w:sz w:val="24"/>
        </w:rPr>
        <w:t>Madeline L. Mason,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i/>
          <w:sz w:val="24"/>
        </w:rPr>
        <w:t>Data and Software Availability.</w:t>
      </w:r>
    </w:p>
    <w:p>
      <w:pPr>
        <w:spacing w:line="480" w:lineRule="auto"/>
        <w:ind w:firstLine="720"/>
      </w:pPr>
      <w:r>
        <w:rPr>
          <w:rFonts w:ascii="Times New Roman" w:hAnsi="Times New Roman"/>
          <w:sz w:val="24"/>
        </w:rPr>
        <w:t>All Python scripts used for CIF parsing, PCA-based barrel axis determination, cross-sectional slicing, convex hull analysis, spectral data matching, B-factor extraction, dihedral angle computation, statistical analysis, and figure generation were developed with the assistance of Claude (Anthropic) via Claude Code and are available at https://github.com/LukeBegg1/gfp-barrel-geometry. The complete per-structure dataset (Table S1) is provided as a CSV file in the Supporting Information.</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 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 confidently wrong results from incomplete pattern matching, 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r>
        <w:br w:type="page"/>
      </w:r>
    </w:p>
    <w:p>
      <w:pPr>
        <w:keepNext/>
        <w:jc w:val="center"/>
      </w:pPr>
      <w:r>
        <w:drawing>
          <wp:inline xmlns:a="http://schemas.openxmlformats.org/drawingml/2006/main" xmlns:pic="http://schemas.openxmlformats.org/drawingml/2006/picture">
            <wp:extent cx="5943600" cy="3834342"/>
            <wp:docPr id="4" name="Picture 4"/>
            <wp:cNvGraphicFramePr>
              <a:graphicFrameLocks noChangeAspect="1"/>
            </wp:cNvGraphicFramePr>
            <a:graphic>
              <a:graphicData uri="http://schemas.openxmlformats.org/drawingml/2006/picture">
                <pic:pic>
                  <pic:nvPicPr>
                    <pic:cNvPr id="0" name="figS1_chromophore_effect.png"/>
                    <pic:cNvPicPr/>
                  </pic:nvPicPr>
                  <pic:blipFill>
                    <a:blip r:embed="rId13"/>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Figure 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5" name="Picture 5"/>
            <wp:cNvGraphicFramePr>
              <a:graphicFrameLocks noChangeAspect="1"/>
            </wp:cNvGraphicFramePr>
            <a:graphic>
              <a:graphicData uri="http://schemas.openxmlformats.org/drawingml/2006/picture">
                <pic:pic>
                  <pic:nvPicPr>
                    <pic:cNvPr id="0" name="figS2_color_class.png"/>
                    <pic:cNvPicPr/>
                  </pic:nvPicPr>
                  <pic:blipFill>
                    <a:blip r:embed="rId14"/>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Figure 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6" name="Picture 6"/>
            <wp:cNvGraphicFramePr>
              <a:graphicFrameLocks noChangeAspect="1"/>
            </wp:cNvGraphicFramePr>
            <a:graphic>
              <a:graphicData uri="http://schemas.openxmlformats.org/drawingml/2006/picture">
                <pic:pic>
                  <pic:nvPicPr>
                    <pic:cNvPr id="0" name="figS3_megley.png"/>
                    <pic:cNvPicPr/>
                  </pic:nvPicPr>
                  <pic:blipFill>
                    <a:blip r:embed="rId15"/>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Figure 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7" name="Picture 7"/>
            <wp:cNvGraphicFramePr>
              <a:graphicFrameLocks noChangeAspect="1"/>
            </wp:cNvGraphicFramePr>
            <a:graphic>
              <a:graphicData uri="http://schemas.openxmlformats.org/drawingml/2006/picture">
                <pic:pic>
                  <pic:nvPicPr>
                    <pic:cNvPr id="0" name="figS4_cis_trans.png"/>
                    <pic:cNvPicPr/>
                  </pic:nvPicPr>
                  <pic:blipFill>
                    <a:blip r:embed="rId16"/>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Figure 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8" name="Picture 8"/>
            <wp:cNvGraphicFramePr>
              <a:graphicFrameLocks noChangeAspect="1"/>
            </wp:cNvGraphicFramePr>
            <a:graphic>
              <a:graphicData uri="http://schemas.openxmlformats.org/drawingml/2006/picture">
                <pic:pic>
                  <pic:nvPicPr>
                    <pic:cNvPr id="0" name="figS5_resolution.png"/>
                    <pic:cNvPicPr/>
                  </pic:nvPicPr>
                  <pic:blipFill>
                    <a:blip r:embed="rId17"/>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Figure 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9" name="Picture 9"/>
            <wp:cNvGraphicFramePr>
              <a:graphicFrameLocks noChangeAspect="1"/>
            </wp:cNvGraphicFramePr>
            <a:graphic>
              <a:graphicData uri="http://schemas.openxmlformats.org/drawingml/2006/picture">
                <pic:pic>
                  <pic:nvPicPr>
                    <pic:cNvPr id="0" name="figS6_alphafold_paired.png"/>
                    <pic:cNvPicPr/>
                  </pic:nvPicPr>
                  <pic:blipFill>
                    <a:blip r:embed="rId18"/>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Figure 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10" name="Picture 10"/>
            <wp:cNvGraphicFramePr>
              <a:graphicFrameLocks noChangeAspect="1"/>
            </wp:cNvGraphicFramePr>
            <a:graphic>
              <a:graphicData uri="http://schemas.openxmlformats.org/drawingml/2006/picture">
                <pic:pic>
                  <pic:nvPicPr>
                    <pic:cNvPr id="0" name="figS7_heatmap.png"/>
                    <pic:cNvPicPr/>
                  </pic:nvPicPr>
                  <pic:blipFill>
                    <a:blip r:embed="rId19"/>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Figure 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11" name="Picture 11"/>
            <wp:cNvGraphicFramePr>
              <a:graphicFrameLocks noChangeAspect="1"/>
            </wp:cNvGraphicFramePr>
            <a:graphic>
              <a:graphicData uri="http://schemas.openxmlformats.org/drawingml/2006/picture">
                <pic:pic>
                  <pic:nvPicPr>
                    <pic:cNvPr id="0" name="figS8_chromophore_types.png"/>
                    <pic:cNvPicPr/>
                  </pic:nvPicPr>
                  <pic:blipFill>
                    <a:blip r:embed="rId20"/>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Figure 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