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Reviewers</w:t>
      </w:r>
    </w:p>
    <w:p>
      <w:pPr>
        <w:jc w:val="center"/>
      </w:pPr>
      <w:r>
        <w:rPr>
          <w:i/>
          <w:sz w:val="22"/>
        </w:rPr>
        <w:t>Manuscript ID ci-2026-01606c</w:t>
        <w:br/>
        <w:t>“Barrel Shape and Chromophore Rigidity Predict Fluorescent-Protein Photophysics”</w:t>
        <w:br/>
        <w:t>L. P. Begg, M. L. Mason, M. Zimmer</w:t>
      </w:r>
    </w:p>
    <w:p/>
    <w:p>
      <w:pPr>
        <w:spacing w:after="160"/>
        <w:jc w:val="both"/>
      </w:pPr>
      <w:r>
        <w:t>We thank the editor and the three reviewers for their careful and constructive assessments. We have made major revisions addressing every point, summarized below (reviewer comments in italics; our responses follow). Beyond the specific comments, our continued data-quality review identified — and we have corrected — an artifact in the submitted quantum-yield (QY) annotations: public databases propagate the wild-type avGFP value (0.79) by keyword inheritance, so 82% of annotated structures shared that value. We re-curated QY directly from FPbase (by PDB identifier, else chain-A sequence at ≥ 99% identity), recovering 354 structures spanning 0.0001–0.97. This refines the QY analysis (and addresses Reviewers 2 and 3 on QY data), while the barrel-shape/emission results and the AlphaFold comparison are unchanged. All figures and statistics are regenerated from deposited, reproducible code.</w:t>
      </w:r>
    </w:p>
    <w:p>
      <w:r>
        <w:rPr>
          <w:b/>
          <w:color w:val="1F3B57"/>
          <w:sz w:val="26"/>
        </w:rPr>
        <w:t>Reviewer 1</w:t>
      </w:r>
    </w:p>
    <w:p>
      <w:pPr>
        <w:spacing w:after="160"/>
        <w:jc w:val="both"/>
      </w:pPr>
      <w:r>
        <w:t>We thank the reviewer for the positive assessment and for highlighting the sampling-imbalance concern, which we have addressed directly.</w:t>
      </w:r>
    </w:p>
    <w:p>
      <w:pPr>
        <w:spacing w:after="60"/>
        <w:ind w:left="432"/>
      </w:pPr>
      <w:r>
        <w:rPr>
          <w:i/>
          <w:color w:val="555555"/>
        </w:rPr>
        <w:t>(1) This study has significant differences in the color group samples. Green fluorescent protein constitutes the dominant part.</w:t>
      </w:r>
    </w:p>
    <w:p>
      <w:pPr>
        <w:spacing w:after="180"/>
        <w:jc w:val="both"/>
      </w:pPr>
      <w:r>
        <w:rPr>
          <w:b/>
        </w:rPr>
        <w:t xml:space="preserve">Response. </w:t>
      </w:r>
      <w:r>
        <w:t>We agree, and now address imbalance and pseudoreplication explicitly (new Table S7 and revised Limitations). We assign each structure a granular per-protein identity (matched FPbase entry, else chain-A sequence), giving 430 unique proteins in the canonical cohort rather than the coarse count used previously. Under collapse to one entry per protein the key correlations are preserved or strengthened (redundancy attenuated, not inflated, them); they also hold in a monomer-only subset (e.g., emission vs minor axis ρ = –0.46), and the emission–geometry relationship holds within the green class alone (ρ = –0.20, p = 3 × 10⁻⁵). We now state explicitly that the blue (n = 10) and orange (n = 11) classes are too small for within-class inference and restrict within-class quantitative claims to the well-sampled green, red, cyan, and yellow classes.</w:t>
      </w:r>
    </w:p>
    <w:p>
      <w:pPr>
        <w:spacing w:after="60"/>
        <w:ind w:left="432"/>
      </w:pPr>
      <w:r>
        <w:rPr>
          <w:i/>
          <w:color w:val="555555"/>
        </w:rPr>
        <w:t>(2) The R² values of the two models used in the Multivariate Analysis section are both less than 0.5; it is suggested to provide additional explanations regarding the reason for the low R² value.</w:t>
      </w:r>
    </w:p>
    <w:p>
      <w:pPr>
        <w:spacing w:after="180"/>
        <w:jc w:val="both"/>
      </w:pPr>
      <w:r>
        <w:rPr>
          <w:b/>
        </w:rPr>
        <w:t xml:space="preserve">Response. </w:t>
      </w:r>
      <w:r>
        <w:t>We have added this explanation (Multivariate Analysis). The modest R² (~0.18) is expected and informative rather than a deficiency: quantum yield is set at the electronic-structure level — excited-state surface topology, conical-intersection accessibility, chromophore protonation and intramolecular charge transfer, local electrostatic fields, and dark-state pathways — none of which is encoded in a static ground-state crystal geometry. A structure-only predictor therefore has a natural ceiling; adding richer structural descriptors such as hydrogen-bond counts and electrostatic terms yields only modest gains. Our models are best read as identifying which static structural features carry reproducible QY signal (chromophore-to-barrel rigidity and ground-state planarity), not as quantitative predictors.</w:t>
      </w:r>
    </w:p>
    <w:p>
      <w:pPr>
        <w:spacing w:after="60"/>
        <w:ind w:left="432"/>
      </w:pPr>
      <w:r>
        <w:rPr>
          <w:i/>
          <w:color w:val="555555"/>
        </w:rPr>
        <w:t>(3) The manuscript contains a few grammatical errors, which have affected the smoothness of reading. It is recommended that a professional editor conduct a comprehensive language revision.</w:t>
      </w:r>
    </w:p>
    <w:p>
      <w:pPr>
        <w:spacing w:after="180"/>
        <w:jc w:val="both"/>
      </w:pPr>
      <w:r>
        <w:rPr>
          <w:b/>
        </w:rPr>
        <w:t xml:space="preserve">Response. </w:t>
      </w:r>
      <w:r>
        <w:t>We have re-read the manuscript in full and corrected the grammatical errors we identified (for example, an over-corrected “analyzes” → “analyses,” and consistent use of “fluorescence quantum yield”). We have improved sentence flow throughout the revised sections and will be glad to arrange professional language editing prior to production if the editor recommends it.</w:t>
      </w:r>
    </w:p>
    <w:p>
      <w:pPr>
        <w:spacing w:after="60"/>
        <w:ind w:left="432"/>
      </w:pPr>
      <w:r>
        <w:rPr>
          <w:i/>
          <w:color w:val="555555"/>
        </w:rPr>
        <w:t>(4) The number of pictures in the manuscript is too few, and the quality of the pictures is only marginally satisfactory. It is recommended to increase the number of pictures and improve the quality.</w:t>
      </w:r>
    </w:p>
    <w:p>
      <w:pPr>
        <w:spacing w:after="180"/>
        <w:jc w:val="both"/>
      </w:pPr>
      <w:r>
        <w:rPr>
          <w:b/>
        </w:rPr>
        <w:t xml:space="preserve">Response. </w:t>
      </w:r>
      <w:r>
        <w:t>All figures have been regenerated at publication quality: 600-dpi raster plus vector (PDF) versions for submission, larger and cleaner typography, a refined emission-class palette (with distinct marker shapes for grayscale/color-vision-deficient readers), bold panel labels, and despined axes. We also expanded figure content — the chromophore-maturation figure (now Figure S1) reports five geometric metrics, and the paired AlphaFold comparison is shown as six Bland–Altman panels (Figure S6) — and every figure is now reproducible from the deposited code (three figures that previously had no reproducible generator have been reconstructed). Each figure and sub-panel is now explicitly discussed in the main text. We would gladly add further figures if the reviewer has particular analyses in mind.</w:t>
      </w:r>
    </w:p>
    <w:p>
      <w:r>
        <w:rPr>
          <w:b/>
          <w:color w:val="1F3B57"/>
          <w:sz w:val="26"/>
        </w:rPr>
        <w:t>Reviewer 2</w:t>
      </w:r>
    </w:p>
    <w:p>
      <w:pPr>
        <w:spacing w:after="160"/>
        <w:jc w:val="both"/>
      </w:pPr>
      <w:r>
        <w:t>We thank the reviewer for the detailed and constructive comments, which we have addressed point by point.</w:t>
      </w:r>
    </w:p>
    <w:p>
      <w:pPr>
        <w:spacing w:after="60"/>
        <w:ind w:left="432"/>
      </w:pPr>
      <w:r>
        <w:rPr>
          <w:i/>
          <w:color w:val="555555"/>
        </w:rPr>
        <w:t>(1) The figure sequence seems random (Figure S8, then S6, S1, S7, S2, S3, S4 …). Figures 1 and 2 were not mentioned in the main text; all sub-panels should be discussed with clear mention of the figures in the main text.</w:t>
      </w:r>
    </w:p>
    <w:p>
      <w:pPr>
        <w:spacing w:after="180"/>
        <w:jc w:val="both"/>
      </w:pPr>
      <w:r>
        <w:rPr>
          <w:b/>
        </w:rPr>
        <w:t xml:space="preserve">Response. </w:t>
      </w:r>
      <w:r>
        <w:t>We have renumbered all Supporting Information figures so they are numbered and appear in strict order of first citation (S1–S8), and we now call out Figure 1 (panels A–D: minor axis, eccentricity, circularity, major axis) and Figure 2 (panels A–C: quantum yield, emission, by color class) at the corresponding points in the Results, with every sub-panel referenced. Figure S1 (color-class bars) is likewise now cited in the text.</w:t>
      </w:r>
    </w:p>
    <w:p>
      <w:pPr>
        <w:spacing w:after="60"/>
        <w:ind w:left="432"/>
      </w:pPr>
      <w:r>
        <w:rPr>
          <w:i/>
          <w:color w:val="555555"/>
        </w:rPr>
        <w:t>(2) The dashed lines (“least-squares fits”) do not show a strong correlation with the data points in Fig. 1, which requires more clarification.</w:t>
      </w:r>
    </w:p>
    <w:p>
      <w:pPr>
        <w:spacing w:after="180"/>
        <w:jc w:val="both"/>
      </w:pPr>
      <w:r>
        <w:rPr>
          <w:b/>
        </w:rPr>
        <w:t xml:space="preserve">Response. </w:t>
      </w:r>
      <w:r>
        <w:t>We have clarified the Figure 1 caption: the relationships are monotonic but modest and show substantial single-structure scatter; the reported Spearman ρ (rank correlation) and its p-value, not the visual spread, quantify each association, and the dashed lines are least-squares fits included only as guides to the eye (the trends are not assumed linear). We also note that the associations strengthen when replicate crystals are collapsed to one point per protein (Tables S2, S7).</w:t>
      </w:r>
    </w:p>
    <w:p>
      <w:pPr>
        <w:spacing w:after="60"/>
        <w:ind w:left="432"/>
      </w:pPr>
      <w:r>
        <w:rPr>
          <w:i/>
          <w:color w:val="555555"/>
        </w:rPr>
        <w:t>(3) “PCA” should be defined upon first use.</w:t>
      </w:r>
    </w:p>
    <w:p>
      <w:pPr>
        <w:spacing w:after="180"/>
        <w:jc w:val="both"/>
      </w:pPr>
      <w:r>
        <w:rPr>
          <w:b/>
        </w:rPr>
        <w:t xml:space="preserve">Response. </w:t>
      </w:r>
      <w:r>
        <w:t>Corrected — “principal component analysis (PCA)” is now spelled out at first use.</w:t>
      </w:r>
    </w:p>
    <w:p>
      <w:pPr>
        <w:spacing w:after="60"/>
        <w:ind w:left="432"/>
      </w:pPr>
      <w:r>
        <w:rPr>
          <w:i/>
          <w:color w:val="555555"/>
        </w:rPr>
        <w:t>(4) Recent works on fluorescence quantum yield and chromophore rigidity should be cited (e.g., J. Am. Chem. Soc. 2024, 146, 17646; Proc. Natl. Acad. Sci. U.S.A. 2025, 122, e2508094122). Also, “fluorescence quantum yield” should be used rather than “quantum yield.”</w:t>
      </w:r>
    </w:p>
    <w:p>
      <w:pPr>
        <w:spacing w:after="180"/>
        <w:jc w:val="both"/>
      </w:pPr>
      <w:r>
        <w:rPr>
          <w:b/>
        </w:rPr>
        <w:t xml:space="preserve">Response. </w:t>
      </w:r>
      <w:r>
        <w:t>We now cite Pieri et al. (J. Am. Chem. Soc. 2024, ref 43) and Chen et al. (Proc. Natl. Acad. Sci. U.S.A. 2025, ref 44) in the discussion of the ground-state-geometry / rigidity basis of brightness, where they directly support the conical-intersection and rigidity arguments. We also define “fluorescence quantum yield” on first use and clarify that it is the quantity meant throughout.</w:t>
      </w:r>
    </w:p>
    <w:p>
      <w:pPr>
        <w:spacing w:after="60"/>
        <w:ind w:left="432"/>
      </w:pPr>
      <w:r>
        <w:rPr>
          <w:i/>
          <w:color w:val="555555"/>
        </w:rPr>
        <w:t>(5) Quantum-yield and extinction-coefficient values are available for only 321 structures, not 861 with a mature chromophore. How was limited data addressed in drawing generalizable conclusions?</w:t>
      </w:r>
    </w:p>
    <w:p>
      <w:pPr>
        <w:spacing w:after="180"/>
        <w:jc w:val="both"/>
      </w:pPr>
      <w:r>
        <w:rPr>
          <w:b/>
        </w:rPr>
        <w:t xml:space="preserve">Response. </w:t>
      </w:r>
      <w:r>
        <w:t>The re-curation described above increases curated QY coverage to 354 structures, and all QY statistics are now reported per unique protein. We do not claim causation from these correlations; the revised Limitations states that generalizability beyond the crystallized, well-sampled classes remains to be established, and Table S7 documents that the reported associations are robust to pseudoreplication, oligomeric state, and green-class dominance.</w:t>
      </w:r>
    </w:p>
    <w:p>
      <w:pPr>
        <w:spacing w:after="60"/>
        <w:ind w:left="432"/>
      </w:pPr>
      <w:r>
        <w:rPr>
          <w:i/>
          <w:color w:val="555555"/>
        </w:rPr>
        <w:t>(6) For RFPs, “the chromophore is on average no more rigid than the barrel” (Fig. 2C). What is the main reason — simply that RFP chromophores are larger?</w:t>
      </w:r>
    </w:p>
    <w:p>
      <w:pPr>
        <w:spacing w:after="180"/>
        <w:jc w:val="both"/>
      </w:pPr>
      <w:r>
        <w:rPr>
          <w:b/>
        </w:rPr>
        <w:t xml:space="preserve">Response. </w:t>
      </w:r>
      <w:r>
        <w:t>We have added an explanation. It is not simply a size effect: although the acylimine-extended red chromophore is larger and forms more barrel contacts than the green HBI chromophore (mean 138 vs 122 non-hydrogen atoms within 4 Å), its absolute B-factor (≈ 28 Å²) is comparable to that of its barrel rather than lower, so the additional bulk does not translate into greater relative thermal immobilization. We note this is a crystallographic B-factor observation and cannot, by itself, distinguish genuine dynamics from refinement behavior of the extended conjugated system.</w:t>
      </w:r>
    </w:p>
    <w:p>
      <w:pPr>
        <w:spacing w:after="60"/>
        <w:ind w:left="432"/>
      </w:pPr>
      <w:r>
        <w:rPr>
          <w:i/>
          <w:color w:val="555555"/>
        </w:rPr>
        <w:t>(7) “cis” and “trans” should be in italic font.</w:t>
      </w:r>
    </w:p>
    <w:p>
      <w:pPr>
        <w:spacing w:after="180"/>
        <w:jc w:val="both"/>
      </w:pPr>
      <w:r>
        <w:rPr>
          <w:b/>
        </w:rPr>
        <w:t xml:space="preserve">Response. </w:t>
      </w:r>
      <w:r>
        <w:t>Corrected — configurational cis and trans (and cis/trans) are now italicized throughout the text and figure captions.</w:t>
      </w:r>
    </w:p>
    <w:p>
      <w:pPr>
        <w:spacing w:after="60"/>
        <w:ind w:left="432"/>
      </w:pPr>
      <w:r>
        <w:rPr>
          <w:i/>
          <w:color w:val="555555"/>
        </w:rPr>
        <w:t>(8) “other factors (chromophore chemistry, protonation state, excited-state dynamics) will also be important” — key references are needed.</w:t>
      </w:r>
    </w:p>
    <w:p>
      <w:pPr>
        <w:spacing w:after="180"/>
        <w:jc w:val="both"/>
      </w:pPr>
      <w:r>
        <w:rPr>
          <w:b/>
        </w:rPr>
        <w:t xml:space="preserve">Response. </w:t>
      </w:r>
      <w:r>
        <w:t>We have added references at this statement: Meech (excited-state reactions, ref 45), Park &amp; Rhee (electric field / chromophore protonation and planarity, ref 46), and Jones et al. (steric and electronic origins of fluorescence, ref 47).</w:t>
      </w:r>
    </w:p>
    <w:p>
      <w:pPr>
        <w:spacing w:after="60"/>
        <w:ind w:left="432"/>
      </w:pPr>
      <w:r>
        <w:rPr>
          <w:i/>
          <w:color w:val="555555"/>
        </w:rPr>
        <w:t>(9) More discussion is needed for Fig. S7 (now Fig. S3): panel C shows three clusters, and their quantum yields in panel B are not easily connected.</w:t>
      </w:r>
    </w:p>
    <w:p>
      <w:pPr>
        <w:spacing w:after="180"/>
        <w:jc w:val="both"/>
      </w:pPr>
      <w:r>
        <w:rPr>
          <w:b/>
        </w:rPr>
        <w:t xml:space="preserve">Response. </w:t>
      </w:r>
      <w:r>
        <w:t>We have expanded the discussion of this figure. In panel C, the signed sum τ + φ falls into three groups — a central cluster near 0° (cis chromophores) and two flanking clusters near ±200° (trans chromophores, split by the sign of the wrapped dihedrals) — so the visible structure reflects the discrete cis/trans configurations rather than a continuous emission trend. Panel B now plots the symmetry-folded distance from planar (which collapses the cis/trans and ring-flip degeneracies) against quantum yield: most chromophores lie near planar and are bright, while a sparse tail of strongly twisted chromophores — predominantly red FPs, including the isolated point beyond 90° — are consistently dimmer.</w:t>
      </w:r>
    </w:p>
    <w:p>
      <w:r>
        <w:rPr>
          <w:b/>
          <w:color w:val="1F3B57"/>
          <w:sz w:val="26"/>
        </w:rPr>
        <w:t>Reviewer 3</w:t>
      </w:r>
    </w:p>
    <w:p>
      <w:pPr>
        <w:spacing w:after="160"/>
        <w:jc w:val="both"/>
      </w:pPr>
      <w:r>
        <w:t>We thank the reviewer for the rigorous critique. We have substantially strengthened the robustness analyses and clarified the scope of the study.</w:t>
      </w:r>
    </w:p>
    <w:p>
      <w:pPr>
        <w:spacing w:after="60"/>
        <w:ind w:left="432"/>
      </w:pPr>
      <w:r>
        <w:rPr>
          <w:i/>
          <w:color w:val="555555"/>
        </w:rPr>
        <w:t>(1) Mitigate dataset imbalance and pseudoreplication and strengthen robustness: stratified sampling by origin/color/chromophore type; subgroup sensitivity for blue/orange; exclude dimeric/oligomeric FPs and re-run on a monomer-only subset; quantify how redundant crystal entries inflate correlations; and state that conclusions apply primarily to monomeric green FPs.</w:t>
      </w:r>
    </w:p>
    <w:p>
      <w:pPr>
        <w:spacing w:after="180"/>
        <w:jc w:val="both"/>
      </w:pPr>
      <w:r>
        <w:rPr>
          <w:b/>
        </w:rPr>
        <w:t xml:space="preserve">Response. </w:t>
      </w:r>
      <w:r>
        <w:t>We have implemented this program (new Table S7 and revised Limitations). (i) We assign a granular per-protein identity (matched FPbase entry / chain-A sequence), yielding 430 unique proteins, and show the key correlations are preserved or strengthened under per-protein collapse — redundancy attenuated rather than inflated them (contrary to the usual expectation). (ii) We add a monomer-only re-run using FPbase oligomeric-state annotations; all key correlations hold in the monomeric subset (e.g., emission vs minor axis ρ = –0.46; FQY vs B-factor ratio ρ = –0.51), ruling out oligomeric-packing artifacts. (iii) We show the emission–geometry relationship holds within the green class alone and is unchanged when the two smallest classes are excluded. (iv) The blue (n = 10) and orange (n = 11) classes are now reported descriptively only, and we restrict within-class quantitative claims to the well-sampled green, red, cyan, and yellow classes, noting that the family-wide correlations are robust across the monomeric subset.</w:t>
      </w:r>
    </w:p>
    <w:p>
      <w:pPr>
        <w:spacing w:after="60"/>
        <w:ind w:left="432"/>
      </w:pPr>
      <w:r>
        <w:rPr>
          <w:i/>
          <w:color w:val="555555"/>
        </w:rPr>
        <w:t>(2) Distinguish correlation from causation and supply experimental evidence: introduce site-directed mutagenesis to alter barrel ellipticity and measure the resulting shifts in emission and quantum yield.</w:t>
      </w:r>
    </w:p>
    <w:p>
      <w:pPr>
        <w:spacing w:after="180"/>
        <w:jc w:val="both"/>
      </w:pPr>
      <w:r>
        <w:rPr>
          <w:b/>
        </w:rPr>
        <w:t xml:space="preserve">Response. </w:t>
      </w:r>
      <w:r>
        <w:t>We agree that causal evidence is valuable and have reframed the manuscript accordingly — softening causal language and adding an explicit statement that the findings are hypothesis-generating structural correlations. As a purely computational and structural-bioinformatics study (the scope of this work and of JCIM), new wet-laboratory mutagenesis is outside what we can appropriately undertake here. Instead, we marshal the existing experimental record that bears on the hypotheses — the T203Y/T203H substitutions in the GFP/YFP lineage and the I146F substitution in mTurquoise2 — together with recent experimental and QM/MM studies (Pieri et al. 2024; Chen et al. 2025) that connect ground-state geometry and chromophore rigidity to brightness. We present these as independent support for, not proof of, the proposed relationships, and we flag targeted mutagenesis as a natural experimental follow-up.</w:t>
      </w:r>
    </w:p>
    <w:p>
      <w:pPr>
        <w:spacing w:after="60"/>
        <w:ind w:left="432"/>
      </w:pPr>
      <w:r>
        <w:rPr>
          <w:i/>
          <w:color w:val="555555"/>
        </w:rPr>
        <w:t>(3) Improve predictive-model explanatory power by incorporating missing key variables (chromophore hydrogen-bond networks, barrel-wall water permeability, protonation states, intramolecular charge-transfer parameters).</w:t>
      </w:r>
    </w:p>
    <w:p>
      <w:pPr>
        <w:spacing w:after="180"/>
        <w:jc w:val="both"/>
      </w:pPr>
      <w:r>
        <w:rPr>
          <w:b/>
        </w:rPr>
        <w:t xml:space="preserve">Response. </w:t>
      </w:r>
      <w:r>
        <w:t>We appreciate this suggestion and now address it directly. The variables listed are electronic-structure and solvent-dynamics properties that are not encoded in a static crystal geometry, which is precisely why a geometry-only model has a modest ceiling (the new low-R² explanation for Reviewer 1.2). We note that even structural models that incorporate such descriptors (hydrogen-bond counts, electrostatic terms) improve prediction only modestly, confirming that much of the quantum-yield variance reflects excited-state and electronic factors beyond static structure. We therefore present our models as identifying which reproducible structural features carry quantum-yield signal — chromophore-to-barrel rigidity and ground-state planarity — rather than as quantitative predictors of brightness, and we state this limitation explicitly.</w:t>
      </w:r>
    </w:p>
    <w:p/>
    <w:p>
      <w:pPr>
        <w:spacing w:after="160"/>
        <w:jc w:val="both"/>
      </w:pPr>
      <w:r>
        <w:t>We are grateful for the reviewers’ time and believe the manuscript is substantially strengthened. We would be happy to provide any further clarification.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