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Cover Letter — Revised Manuscript</w:t>
      </w:r>
    </w:p>
    <w:p>
      <w:pPr>
        <w:jc w:val="center"/>
      </w:pPr>
      <w:r>
        <w:rPr>
          <w:i/>
          <w:sz w:val="22"/>
        </w:rPr>
        <w:t>Manuscript ID ci-2026-01606c</w:t>
        <w:br/>
        <w:t>“Barrel Shape and Chromophore Rigidity Predict Fluorescent-Protein Photophysics”</w:t>
        <w:br/>
        <w:t>L. P. Begg, M. L. Mason, M. Zimmer</w:t>
      </w:r>
    </w:p>
    <w:p/>
    <w:p>
      <w:pPr>
        <w:spacing w:after="160"/>
        <w:jc w:val="both"/>
      </w:pPr>
      <w:r>
        <w:t>Dear Professor He,</w:t>
      </w:r>
    </w:p>
    <w:p>
      <w:pPr>
        <w:spacing w:after="160"/>
        <w:jc w:val="both"/>
      </w:pPr>
      <w:r>
        <w:t>Thank you for the opportunity to submit a revised manuscript, and please convey our thanks to the three reviewers for their careful and constructive assessments. We have made major revisions that address each of the concerns raised; a detailed point-by-point response accompanies this letter. The principal changes are summarized below.</w:t>
      </w:r>
    </w:p>
    <w:p>
      <w:r>
        <w:rPr>
          <w:b/>
          <w:color w:val="1F3B57"/>
          <w:sz w:val="26"/>
        </w:rPr>
        <w:t>Post-submission data re-curation (disclosure)</w:t>
      </w:r>
    </w:p>
    <w:p>
      <w:pPr>
        <w:spacing w:after="160"/>
        <w:jc w:val="both"/>
      </w:pPr>
      <w:r>
        <w:t>Independently of the reviews, our continued data-quality review identified an artifact in the quantum-yield (QY) annotations of the submitted version: public FP databases propagate the wild-type avGFP quantum yield (0.79) to many entries by keyword inheritance, so 82% of annotated structures carried 0.79 and only 14 distinct values were present. We re-curated QY directly from FPbase (by PDB identifier, else chain-A sequence at ≥ 99% identity), recovering 354 structures spanning 0.0001–0.97. This is fully scripted and reproducible, and it happens to address several reviewer concerns about the QY data (Reviewers 2 and 3). The barrel-shape/emission results and the AlphaFold comparison are unchanged; the QY analysis is refined and, we believe, strengthened.</w:t>
      </w:r>
    </w:p>
    <w:p>
      <w:r>
        <w:rPr>
          <w:b/>
          <w:color w:val="1F3B57"/>
          <w:sz w:val="26"/>
        </w:rPr>
        <w:t>1. Sampling imbalance and pseudoreplication (Reviewers 1, 2, 3)</w:t>
      </w:r>
    </w:p>
    <w:p>
      <w:pPr>
        <w:spacing w:after="160"/>
        <w:jc w:val="both"/>
      </w:pPr>
      <w:r>
        <w:t>We agree this was the central weakness and have addressed it directly with a new robustness analysis (Table S7).</w:t>
      </w:r>
    </w:p>
    <w:p>
      <w:pPr>
        <w:pStyle w:val="ListBullet"/>
        <w:spacing w:after="80"/>
      </w:pPr>
      <w:r>
        <w:t>Granular per-protein identity: each structure is now assigned its matched FPbase entry (or chain-A sequence cluster), giving 430 unique proteins in the canonical cohort rather than the coarse count used previously — a much more stringent pseudoreplication control.</w:t>
      </w:r>
    </w:p>
    <w:p>
      <w:pPr>
        <w:pStyle w:val="ListBullet"/>
        <w:spacing w:after="80"/>
      </w:pPr>
      <w:r>
        <w:t>Under collapse to one entry per protein the key correlations are preserved or strengthened (redundancy attenuated, not inflated them); they also hold in a monomer-only re-run (e.g., emission vs minor axis ρ = –0.46), ruling out oligomeric-packing artifacts, and the emission–geometry relationship holds within the green class alone (ρ = –0.20, p = 3 × 10⁻⁵).</w:t>
      </w:r>
    </w:p>
    <w:p>
      <w:pPr>
        <w:pStyle w:val="ListBullet"/>
        <w:spacing w:after="80"/>
      </w:pPr>
      <w:r>
        <w:t>The blue (n = 10) and orange (n = 11) classes are too small for within-class inference; we now report them descriptively only and explicitly restrict within-class quantitative claims to the well-sampled green, red, cyan, and yellow classes (revised Limitations).</w:t>
      </w:r>
    </w:p>
    <w:p>
      <w:r>
        <w:rPr>
          <w:b/>
          <w:color w:val="1F3B57"/>
          <w:sz w:val="26"/>
        </w:rPr>
        <w:t>2. Correlation versus causation (Reviewer 3)</w:t>
      </w:r>
    </w:p>
    <w:p>
      <w:pPr>
        <w:spacing w:after="160"/>
        <w:jc w:val="both"/>
      </w:pPr>
      <w:r>
        <w:t>We appreciate the importance of causal evidence. As a computational and structural bioinformatics study — the scope of the work and of this journal — new site-directed-mutagenesis experiments are outside what we can appropriately undertake here, and we have therefore reframed the findings as rigorous, hypothesis-generating structural correlations, softened causal language, and added an explicit limitations statement. We also marshal the existing experimental record that bears on the hypotheses — the T203Y/T203H mutations in the GFP/YFP lineage and the I146F substitution in mTurquoise2 — and cite recent excited-state studies (Pieri et al., J. Am. Chem. Soc. 2024; Chen et al., Proc. Natl. Acad. Sci. U. S. A. 2025) that experimentally and computationally support the proposed links between ground-state geometry, rigidity, and brightness.</w:t>
      </w:r>
    </w:p>
    <w:p>
      <w:r>
        <w:rPr>
          <w:b/>
          <w:color w:val="1F3B57"/>
          <w:sz w:val="26"/>
        </w:rPr>
        <w:t>3. Quantum-yield data, metric, and model performance (Reviewers 2, 3)</w:t>
      </w:r>
    </w:p>
    <w:p>
      <w:pPr>
        <w:pStyle w:val="ListBullet"/>
        <w:spacing w:after="80"/>
      </w:pPr>
      <w:r>
        <w:t>QY data availability is much improved by the re-curation (354 structures vs 321), and all QY statistics are now reported per unique protein.</w:t>
      </w:r>
    </w:p>
    <w:p>
      <w:pPr>
        <w:pStyle w:val="ListBullet"/>
        <w:spacing w:after="80"/>
      </w:pPr>
      <w:r>
        <w:t>We adopted a symmetry-folded distance-from-planar metric for ground-state geometry, correcting a case in which an unfolded twist sum mis-scored ring-flipped chromophores (e.g., near-planar mScarlet).</w:t>
      </w:r>
    </w:p>
    <w:p>
      <w:pPr>
        <w:pStyle w:val="ListBullet"/>
        <w:spacing w:after="80"/>
      </w:pPr>
      <w:r>
        <w:t>The modest model R² (~0.18) is now explained as expected for a structure-only predictor: quantum yield is set at the electronic-structure level (excited-state surface topology, conical-intersection accessibility, protonation, charge transfer, dark-state pathways) not encoded in static crystal geometry. Our models identify which structural features carry reproducible signal rather than serving as quantitative predictors.</w:t>
      </w:r>
    </w:p>
    <w:p>
      <w:r>
        <w:rPr>
          <w:b/>
          <w:color w:val="1F3B57"/>
          <w:sz w:val="26"/>
        </w:rPr>
        <w:t>4. Terminology, definitions, and presentation (Reviewers 1, 2)</w:t>
      </w:r>
    </w:p>
    <w:p>
      <w:pPr>
        <w:spacing w:after="160"/>
        <w:jc w:val="both"/>
      </w:pPr>
      <w:r>
        <w:t>We now define “fluorescence quantum yield” on first use, spell out principal component analysis (PCA), clarify that the dashed lines in Figure 1 are guides-to-the-eye least-squares fits while the reported Spearman ρ quantifies each association, and add the requested citations. Remaining presentation items raised by the reviewers (figure call-outs and ordering, additional figures, and typographic conventions such as italic cis/trans) are addressed in the revised manuscript and detailed in the point-by-point response.</w:t>
      </w:r>
    </w:p>
    <w:p>
      <w:r>
        <w:rPr>
          <w:b/>
          <w:color w:val="1F3B57"/>
          <w:sz w:val="26"/>
        </w:rPr>
        <w:t>Summary of the principal numerical changes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Quantity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As submitted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Revised</w:t>
            </w:r>
          </w:p>
        </w:tc>
      </w:tr>
      <w:tr>
        <w:tc>
          <w:tcPr>
            <w:tcW w:type="dxa" w:w="2880"/>
          </w:tcPr>
          <w:p>
            <w:r>
              <w:t>Quantum-yield values in dataset</w:t>
            </w:r>
          </w:p>
        </w:tc>
        <w:tc>
          <w:tcPr>
            <w:tcW w:type="dxa" w:w="2880"/>
          </w:tcPr>
          <w:p>
            <w:r>
              <w:t>14 distinct (82% = avGFP 0.79)</w:t>
            </w:r>
          </w:p>
        </w:tc>
        <w:tc>
          <w:tcPr>
            <w:tcW w:type="dxa" w:w="2880"/>
          </w:tcPr>
          <w:p>
            <w:r>
              <w:t>354 curated from FPbase (0.0001–0.97)</w:t>
            </w:r>
          </w:p>
        </w:tc>
      </w:tr>
      <w:tr>
        <w:tc>
          <w:tcPr>
            <w:tcW w:type="dxa" w:w="2880"/>
          </w:tcPr>
          <w:p>
            <w:r>
              <w:t>Unique proteins (pseudoreplication control)</w:t>
            </w:r>
          </w:p>
        </w:tc>
        <w:tc>
          <w:tcPr>
            <w:tcW w:type="dxa" w:w="2880"/>
          </w:tcPr>
          <w:p>
            <w:r>
              <w:t>coarse name grouping</w:t>
            </w:r>
          </w:p>
        </w:tc>
        <w:tc>
          <w:tcPr>
            <w:tcW w:type="dxa" w:w="2880"/>
          </w:tcPr>
          <w:p>
            <w:r>
              <w:t>430 (matched FPbase entry / chain-A sequence)</w:t>
            </w:r>
          </w:p>
        </w:tc>
      </w:tr>
      <w:tr>
        <w:tc>
          <w:tcPr>
            <w:tcW w:type="dxa" w:w="2880"/>
          </w:tcPr>
          <w:p>
            <w:r>
              <w:t>Primary QY conclusion</w:t>
            </w:r>
          </w:p>
        </w:tc>
        <w:tc>
          <w:tcPr>
            <w:tcW w:type="dxa" w:w="2880"/>
          </w:tcPr>
          <w:p>
            <w:r>
              <w:t>B-factor ratio the single strongest predictor (ρ = –0.443)</w:t>
            </w:r>
          </w:p>
        </w:tc>
        <w:tc>
          <w:tcPr>
            <w:tcW w:type="dxa" w:w="2880"/>
          </w:tcPr>
          <w:p>
            <w:r>
              <w:t>Two independent signals — chromophore-to-barrel B-factor ratio (ρ = –0.49) and ground-state planarity (ρ = –0.42); barrel size not predictive</w:t>
            </w:r>
          </w:p>
        </w:tc>
      </w:tr>
      <w:tr>
        <w:tc>
          <w:tcPr>
            <w:tcW w:type="dxa" w:w="2880"/>
          </w:tcPr>
          <w:p>
            <w:r>
              <w:t>QY aggregation</w:t>
            </w:r>
          </w:p>
        </w:tc>
        <w:tc>
          <w:tcPr>
            <w:tcW w:type="dxa" w:w="2880"/>
          </w:tcPr>
          <w:p>
            <w:r>
              <w:t>per crystal structure</w:t>
            </w:r>
          </w:p>
        </w:tc>
        <w:tc>
          <w:tcPr>
            <w:tcW w:type="dxa" w:w="2880"/>
          </w:tcPr>
          <w:p>
            <w:r>
              <w:t>per unique protein</w:t>
            </w:r>
          </w:p>
        </w:tc>
      </w:tr>
      <w:tr>
        <w:tc>
          <w:tcPr>
            <w:tcW w:type="dxa" w:w="2880"/>
          </w:tcPr>
          <w:p>
            <w:r>
              <w:t>Random-Forest OOB R² (QY)</w:t>
            </w:r>
          </w:p>
        </w:tc>
        <w:tc>
          <w:tcPr>
            <w:tcW w:type="dxa" w:w="2880"/>
          </w:tcPr>
          <w:p>
            <w:r>
              <w:t>0.42</w:t>
            </w:r>
          </w:p>
        </w:tc>
        <w:tc>
          <w:tcPr>
            <w:tcW w:type="dxa" w:w="2880"/>
          </w:tcPr>
          <w:p>
            <w:r>
              <w:t>0.18 (explained)</w:t>
            </w:r>
          </w:p>
        </w:tc>
      </w:tr>
      <w:tr>
        <w:tc>
          <w:tcPr>
            <w:tcW w:type="dxa" w:w="2880"/>
          </w:tcPr>
          <w:p>
            <w:r>
              <w:t>Barrel shape vs emission wavelength</w:t>
            </w:r>
          </w:p>
        </w:tc>
        <w:tc>
          <w:tcPr>
            <w:tcW w:type="dxa" w:w="2880"/>
          </w:tcPr>
          <w:p>
            <w:r>
              <w:t>ρ = –0.329 (minor axis)</w:t>
            </w:r>
          </w:p>
        </w:tc>
        <w:tc>
          <w:tcPr>
            <w:tcW w:type="dxa" w:w="2880"/>
          </w:tcPr>
          <w:p>
            <w:r>
              <w:t>unchanged</w:t>
            </w:r>
          </w:p>
        </w:tc>
      </w:tr>
    </w:tbl>
    <w:p/>
    <w:p>
      <w:pPr>
        <w:spacing w:after="160"/>
        <w:jc w:val="both"/>
      </w:pPr>
      <w:r>
        <w:t>We believe these revisions substantially strengthen the manuscript while keeping the beta-barrel geometry the focus of the study. We would be glad to provide any further clarification the reviewers or editor may require.</w:t>
      </w:r>
    </w:p>
    <w:p>
      <w:pPr>
        <w:spacing w:after="160"/>
        <w:jc w:val="both"/>
      </w:pPr>
      <w:r>
        <w:t>Sincerely,</w:t>
      </w:r>
    </w:p>
    <w:p>
      <w:pPr>
        <w:spacing w:after="160"/>
        <w:jc w:val="both"/>
      </w:pPr>
      <w:r>
        <w:t>Marc Zimmer, on behalf of the authors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