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Quantum yield, by contrast, is not governed by barrel size: it tracks how rigidly the barrel holds the chromophore (chromophore-to-barrel B-factor ratio, ρ = –0.51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quantum yields.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–0.51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cis, |τ| &gt; 150° as trans, and the remainder as twisted. Absolute magnitudes |τ| and |φ| are used in correlation analyses as descriptive measures of out-of-plane chromophore distortion, irrespective of cis/trans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cis-vs-trans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the 694 spectrally matched structures correspond to only 74 unique FPbase protein names. The effective sample size for cross-protein comparisons is therefore substantially smaller than the total structure count, and robustness to pseudoreplication is assessed in Table S2.</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Eccentricity (Kruskal–Wallis H = 113.2, p = 8.6 × 10⁻²³), minor axis (H = 108.9, p = 7.0 × 10⁻²²), and circularity (H = 103.0, p = 1.2 × 10⁻²⁰) all differed across groups. Red fluorescent proteins had the most elliptical barrels and narrowest minor axes; green had the most circular. Emission wavelength correlated with eccentricity (ρ = +0.320, p = 1.4 × 10⁻¹⁶), minor axis (ρ = –0.329, p = 1.9 × 10⁻¹⁷), and circularity (ρ = –0.258, p = 4.5 × 10⁻¹¹). Emission was weakly correlated with the major axis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Dashed lines are least-squares fits, included as visual guides; Spearman ρ and p-values are reported in the panels.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(ρ = –0.309, p = 2.7 × 10⁻⁸, n = 310), surviving partial correlation controlling for resolution (partial ρ = –0.282). Collapsed to one entry per protein, it remains a strong and independent QY correlate (ρ = –0.51, n = 77; Table S6), comparable to chromophore ground-state planarity (see Chromophore Dihedral Geometry, below); the two capture distinct structural routes to brightness and are not an artifact of replicate structures. The ratio varied by color class: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τ and φ dihedral angles were computed for 603 canonical-cohort structures (590 of which were classifiable as cis, trans, or twisted). Cis configurations predominated (441, 74.7%), with 111 trans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S7C).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cis/trans degeneracy, so that a near-planar trans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77 unique FPs with both metrics; Table S6), two such features carry independent signals: the chromophore-to-barrel B-factor ratio (ρ = –0.51, p &lt; 10⁻⁴) and the chromophore’s ground-state planarity (distance-from-planar vs QY, ρ = –0.42, p = 1 × 10⁻⁴); each survives adjustment for the other (partial ρ = –0.46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This extends the findings of Megley et al.²⁷ from a small set of structures to 603. Within this dataset, τ and φ are negatively correlated across all structures (ρ = –0.357, p &lt; 0.001; Figure S7A), forming two parallel bands in the τ–φ plane corresponding to cis and trans configurations. This anticorrelation primarily reflects the bimodal distribution of configurational states: cis structures (τ ≈ 0°) and trans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Trans-configured chromophores had higher eccentricity than cis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model’s modest performance indicates that how the barrel holds the chromophore constrains, but does not fully determine, quantum yield.</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the 780 entries are not fully independent (633 spectrally matched entries correspond to only 70 unique FPbase names), and the PDB itself is not a random sample of all FPs — heavily studied variants such as GFP and mCherry are overrepresented while many natural and engineered FPs have no deposited structure. These pseudoreplication and selection issues are partially addressed by the unique-protein collapse (Table S2), which preserves the principal correlations, but the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–0.51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77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–0.51) each survive adjustment for the other (partial ρ = –0.35 and –0.46), confirming two distinct, independent structural routes to quantum yield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(cis, trans,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