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Pr>
        <w:jc w:val="center"/>
      </w:pPr>
      <w:r>
        <w:rPr>
          <w:rFonts w:ascii="Times New Roman" w:hAnsi="Times New Roman"/>
          <w:sz w:val="22"/>
        </w:rPr>
        <w:t>*Corresponding author. E-mail: mzim@conncoll.edu</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Fluorescence quantum yield, by contrast, is not governed by barrel size: it tracks how rigidly the barrel holds the chromophore (chromophore-to-barrel B-factor ratio, ρ = –0.49 per unique FP), together with the chromophore’s ground-state planarity (ρ = –0.42) as an independent signal of comparable strength; the planarity term is concentrated in red fluorescent proteins and is examined in detail in a companion study.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2952163"/>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2952163"/>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fluorescence quantum yields (the fraction of absorbed photons re-emitted as fluorescence; hereafter quantum yield for brevity).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principal component analysis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quantum yield depends not on barrel size but on how rigidly the barrel holds the chromophore (chromophore-to-barrel B-factor ratio, ρ = –0.49 per unique FP) and on the chromophore’s ground-state planarity (ρ = –0.42, an independent signal developed in a companion study), and that barrel eccentricity correlates with chromophore dihedral twist.</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 xml:space="preserve">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w:t>
      </w:r>
      <w:r>
        <w:rPr>
          <w:rFonts w:ascii="Times New Roman" w:hAnsi="Times New Roman"/>
          <w:i/>
          <w:sz w:val="24"/>
        </w:rPr>
        <w:t>cis</w:t>
      </w:r>
      <w:r>
        <w:rPr>
          <w:rFonts w:ascii="Times New Roman" w:hAnsi="Times New Roman"/>
          <w:sz w:val="24"/>
        </w:rPr>
        <w:t xml:space="preserve">, |τ| &gt; 150° as </w:t>
      </w:r>
      <w:r>
        <w:rPr>
          <w:rFonts w:ascii="Times New Roman" w:hAnsi="Times New Roman"/>
          <w:i/>
          <w:sz w:val="24"/>
        </w:rPr>
        <w:t>trans</w:t>
      </w:r>
      <w:r>
        <w:rPr>
          <w:rFonts w:ascii="Times New Roman" w:hAnsi="Times New Roman"/>
          <w:sz w:val="24"/>
        </w:rPr>
        <w:t xml:space="preserve">, and the remainder as twisted. Absolute magnitudes |τ| and |φ| are used in correlation analyses as descriptive measures of out-of-plane chromophore distortion, irrespective of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 xml:space="preserve">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the signed sum τ + φ, and ground-state planarity; plus the five Mann–Whitney chromophore-present vs absent tests, the three </w:t>
      </w:r>
      <w:r>
        <w:rPr>
          <w:rFonts w:ascii="Times New Roman" w:hAnsi="Times New Roman"/>
          <w:i/>
          <w:sz w:val="24"/>
        </w:rPr>
        <w:t>cis</w:t>
      </w:r>
      <w:r>
        <w:rPr>
          <w:rFonts w:ascii="Times New Roman" w:hAnsi="Times New Roman"/>
          <w:sz w:val="24"/>
        </w:rPr>
        <w:t>-vs-</w:t>
      </w:r>
      <w:r>
        <w:rPr>
          <w:rFonts w:ascii="Times New Roman" w:hAnsi="Times New Roman"/>
          <w:i/>
          <w:sz w:val="24"/>
        </w:rPr>
        <w:t>trans</w:t>
      </w:r>
      <w:r>
        <w:rPr>
          <w:rFonts w:ascii="Times New Roman" w:hAnsi="Times New Roman"/>
          <w:sz w:val="24"/>
        </w:rPr>
        <w:t xml:space="preserve">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the Bland–Altman plots in the Supporting Information show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Under a granular per-protein identity (matched FPbase entry plus chain-A sequence; Table S7), the 780 canonical structures represent 430 unique proteins. The effective sample size for cross-protein comparisons is therefore smaller than the total structure count, and robustness to pseudoreplication and sampling imbalance is assessed in Tables S2 and S7.</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S1).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(Figure S2). Eccentricity (Kruskal–Wallis H = 113.2, p = 8.6 × 10⁻²³), minor axis (H = 108.9, p = 7.0 × 10⁻²²), and circularity (H = 103.0, p = 1.2 × 10⁻²⁰) all differed across groups. Red fluorescent proteins had the most elliptical barrels and narrowest minor axes; green had the most circular. At the single-structure level (Figure 1), emission wavelength correlated with eccentricity (Figure 1B; ρ = +0.320, p = 1.4 × 10⁻¹⁶), minor axis (Figure 1A; ρ = –0.329, p = 1.9 × 10⁻¹⁷), and circularity (Figure 1C; ρ = –0.258, p = 4.5 × 10⁻¹¹). Emission was weakly correlated with the major axis (Figure 1D;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766544"/>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766544"/>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The relationships are monotonic but modest and display substantial scatter at the single-structure level; the reported Spearman ρ (rank correlation) and its p-value, not the visual spread, quantify each association, and the dashed lines are linear least-squares fits included only as guides to the eye (the trends are not assumed to be linear). The associations strengthen when replicate crystals are collapsed to one point per protein (Tables S2, S7). Red-shifted variants populate the narrower, more elliptical tail of each distribution. The same data summarized by emission color class are shown as bar charts in Figure S2.</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at the cohort level (Figure 2A; ρ = –0.309, p = 2.7 × 10⁻⁸, n = 310), surviving partial correlation controlling for resolution (partial ρ = –0.282). Collapsed to one entry per protein, it remains a strong and independent QY correlate (ρ = –0.49, n = 123; Table S6), comparable to chromophore ground-state planarity (see Chromophore Dihedral Geometry, below); the two capture distinct structural routes to brightness and are not an artifact of replicate structures. The ratio varied by color class (Figure 2C): blue 0.66 ± 0.19, cyan 0.70 ± 0.15, green 0.76 ± 0.17, yellow 0.79 ± 0.16, orange 0.88 ± 0.22, red 1.02 ± 0.24. In red fluorescent proteins, the chromophore is on average no more rigid than the barrel. This is not simply a chromophore-size effect: although the acylimine-extended red chromophore is larger and forms more barrel contacts than the green HBI chromophore (mean 138 vs 122 non-hydrogen atoms within 4 Å), its absolute B-factor (≈ 28 Å²) is comparable to that of its barrel rather than lower, so the additional bulk and contacts do not translate into greater relative thermal immobilization. Whether this reflects genuine chromophore dynamics or the refinement behavior of the extended conjugated system cannot be resolved from crystallographic B-factors alone.</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(Figure 2B;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5911202"/>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5911202"/>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 xml:space="preserve">τ and φ dihedral angles were computed for 603 canonical-cohort structures (590 of which were classifiable as </w:t>
      </w:r>
      <w:r>
        <w:rPr>
          <w:rFonts w:ascii="Times New Roman" w:hAnsi="Times New Roman"/>
          <w:i/>
          <w:sz w:val="24"/>
        </w:rPr>
        <w:t>cis</w:t>
      </w:r>
      <w:r>
        <w:rPr>
          <w:rFonts w:ascii="Times New Roman" w:hAnsi="Times New Roman"/>
          <w:sz w:val="24"/>
        </w:rPr>
        <w:t xml:space="preserve">, </w:t>
      </w:r>
      <w:r>
        <w:rPr>
          <w:rFonts w:ascii="Times New Roman" w:hAnsi="Times New Roman"/>
          <w:i/>
          <w:sz w:val="24"/>
        </w:rPr>
        <w:t>trans</w:t>
      </w:r>
      <w:r>
        <w:rPr>
          <w:rFonts w:ascii="Times New Roman" w:hAnsi="Times New Roman"/>
          <w:sz w:val="24"/>
        </w:rPr>
        <w:t xml:space="preserve">, or twisted). </w:t>
      </w:r>
      <w:r>
        <w:rPr>
          <w:rFonts w:ascii="Times New Roman" w:hAnsi="Times New Roman"/>
          <w:i/>
          <w:sz w:val="24"/>
        </w:rPr>
        <w:t>Cis</w:t>
      </w:r>
      <w:r>
        <w:rPr>
          <w:rFonts w:ascii="Times New Roman" w:hAnsi="Times New Roman"/>
          <w:sz w:val="24"/>
        </w:rPr>
        <w:t xml:space="preserve"> configurations predominated (441, 74.7%), with 111 </w:t>
      </w:r>
      <w:r>
        <w:rPr>
          <w:rFonts w:ascii="Times New Roman" w:hAnsi="Times New Roman"/>
          <w:i/>
          <w:sz w:val="24"/>
        </w:rPr>
        <w:t>trans</w:t>
      </w:r>
      <w:r>
        <w:rPr>
          <w:rFonts w:ascii="Times New Roman" w:hAnsi="Times New Roman"/>
          <w:sz w:val="24"/>
        </w:rPr>
        <w:t xml:space="preserve"> (18.8%) and 38 twisted (6.4%). The τ angle correlated with eccentricity (ρ = –0.197, p = 1.1 × 10⁻⁶). Absolute twist magnitudes correlated with eccentricity (|τ|: ρ = +0.167; |φ|: ρ = +0.197) and B-factor ratio (|τ|: ρ = +0.158; |φ|: ρ = +0.155). The signed sum τ + φ was the strongest dihedral predictor of emission (ρ = –0.311, p = 1.0 × 10⁻¹²; Figure S3C). We note that τ + φ is used here as a descriptive algebraic sum of two static crystallographic dihedral angles, not in the mechanistic sense of the hula-twist photoisomerization pathway. To relate chromophore geometry to quantum yield we use the angular distance from the deposited (τ, φ) to the nearest planar reference, taking the minimum over the four planar settings (0°, 0°), (0°, 180°), (180°, 0°), and (180°, 180°). This folds the 180° phenol symmetry and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degeneracy, so that a near-planar </w:t>
      </w:r>
      <w:r>
        <w:rPr>
          <w:rFonts w:ascii="Times New Roman" w:hAnsi="Times New Roman"/>
          <w:i/>
          <w:sz w:val="24"/>
        </w:rPr>
        <w:t>trans</w:t>
      </w:r>
      <w:r>
        <w:rPr>
          <w:rFonts w:ascii="Times New Roman" w:hAnsi="Times New Roman"/>
          <w:sz w:val="24"/>
        </w:rPr>
        <w:t xml:space="preserve"> or ring-flipped chromophore is correctly scored as planar; an unfolded |τ| + |φ| sum instead misregisters such structures as maximally twisted (for example, near-planar mScarlet, φ ≈ 179°, which scores 180° rather than 2° from planar). Barrel cross-sectional metrics — area, minor axis, and eccentricity — are at best weak correlates of quantum yield (all |ρ| &lt; 0.16), confirming that within-class brightness is not set by barrel size; the quantum-yield-relevant structural signals lie instead in how the barrel restrains the chromophore. Collapsing replicate crystals to one entry per protein (n = 123 unique FPs with both metrics; Table S6), two such features carry independent signals: the chromophore-to-barrel B-factor ratio (ρ = –0.49, p &lt; 10⁻⁴) and the chromophore’s ground-state planarity (distance-from-planar vs QY, ρ = –0.42, p = 1 × 10⁻⁴); each survives adjustment for the other (partial ρ = –0.43 and –0.35). Neither is dominant, and both are modest, consistent with quantum yield being shaped by several structural routes — ground-state geometry, thermal damping, and local electrostatics — rather than a single geometric lever. The pooled, per-crystal correlation using the unfolded twist sum (ρ = –0.37) overstates this relationship: it is inflated by replicate crystals and by between-class structure and conflates the phenol-flip coordinate with genuine non-planarity. The within-class structure of the planarity–brightness association — its concentration in red FPs, which span a wide range of ground-state twist, versus green FPs, which cluster near planar with little spread — is characterized in detail in a companion analysis of chromophore torsional space.⁴² These two structural routes are consistent with recent excited-state studies: in red FPs a pre-twisted ground-state chromophore brings the S₁/S₀ conical intersection to or below the Franck–Condon energy, making non-radiative decay nearly barrierless,⁴³ while chromophore rigidity — not planarity alone — can be the decisive factor in engineered variants,⁴⁴ paralleling the independent B-factor-ratio signal reported here. This extends the findings of Megley et al.²⁷ from a small set of structures to 603. Within this dataset, τ and φ are negatively correlated across all structures (ρ = –0.357, p &lt; 0.001; Figure S3A), forming two parallel bands in the τ–φ plane corresponding to </w:t>
      </w:r>
      <w:r>
        <w:rPr>
          <w:rFonts w:ascii="Times New Roman" w:hAnsi="Times New Roman"/>
          <w:i/>
          <w:sz w:val="24"/>
        </w:rPr>
        <w:t>cis</w:t>
      </w:r>
      <w:r>
        <w:rPr>
          <w:rFonts w:ascii="Times New Roman" w:hAnsi="Times New Roman"/>
          <w:sz w:val="24"/>
        </w:rPr>
        <w:t xml:space="preserve"> and </w:t>
      </w:r>
      <w:r>
        <w:rPr>
          <w:rFonts w:ascii="Times New Roman" w:hAnsi="Times New Roman"/>
          <w:i/>
          <w:sz w:val="24"/>
        </w:rPr>
        <w:t>trans</w:t>
      </w:r>
      <w:r>
        <w:rPr>
          <w:rFonts w:ascii="Times New Roman" w:hAnsi="Times New Roman"/>
          <w:sz w:val="24"/>
        </w:rPr>
        <w:t xml:space="preserve"> configurations. This anticorrelation primarily reflects the bimodal distribution of configurational states: </w:t>
      </w:r>
      <w:r>
        <w:rPr>
          <w:rFonts w:ascii="Times New Roman" w:hAnsi="Times New Roman"/>
          <w:i/>
          <w:sz w:val="24"/>
        </w:rPr>
        <w:t>cis</w:t>
      </w:r>
      <w:r>
        <w:rPr>
          <w:rFonts w:ascii="Times New Roman" w:hAnsi="Times New Roman"/>
          <w:sz w:val="24"/>
        </w:rPr>
        <w:t xml:space="preserve"> structures (τ ≈ 0°) and </w:t>
      </w:r>
      <w:r>
        <w:rPr>
          <w:rFonts w:ascii="Times New Roman" w:hAnsi="Times New Roman"/>
          <w:i/>
          <w:sz w:val="24"/>
        </w:rPr>
        <w:t>trans</w:t>
      </w:r>
      <w:r>
        <w:rPr>
          <w:rFonts w:ascii="Times New Roman" w:hAnsi="Times New Roman"/>
          <w:sz w:val="24"/>
        </w:rPr>
        <w:t xml:space="preserve">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w:t>
      </w:r>
      <w:r>
        <w:rPr>
          <w:rFonts w:ascii="Times New Roman" w:hAnsi="Times New Roman"/>
          <w:i/>
          <w:sz w:val="24"/>
        </w:rPr>
        <w:t>Trans</w:t>
      </w:r>
      <w:r>
        <w:rPr>
          <w:rFonts w:ascii="Times New Roman" w:hAnsi="Times New Roman"/>
          <w:sz w:val="24"/>
        </w:rPr>
        <w:t xml:space="preserve">-configured chromophores had higher eccentricity than </w:t>
      </w:r>
      <w:r>
        <w:rPr>
          <w:rFonts w:ascii="Times New Roman" w:hAnsi="Times New Roman"/>
          <w:i/>
          <w:sz w:val="24"/>
        </w:rPr>
        <w:t>cis</w:t>
      </w:r>
      <w:r>
        <w:rPr>
          <w:rFonts w:ascii="Times New Roman" w:hAnsi="Times New Roman"/>
          <w:sz w:val="24"/>
        </w:rPr>
        <w:t xml:space="preserve"> (0.44 vs 0.40, p &lt; 0.001), lower circularity (0.918 vs 0.923, p = 0.019), and narrower minor axes (29.2 vs 29.6 Å, p = 0.003; Figure S4). The full dihedral analysis is shown in Figure S3. In panel C, the signed sum τ + φ falls into three groups — a central cluster near 0° (</w:t>
      </w:r>
      <w:r>
        <w:rPr>
          <w:rFonts w:ascii="Times New Roman" w:hAnsi="Times New Roman"/>
          <w:i/>
          <w:sz w:val="24"/>
        </w:rPr>
        <w:t>cis</w:t>
      </w:r>
      <w:r>
        <w:rPr>
          <w:rFonts w:ascii="Times New Roman" w:hAnsi="Times New Roman"/>
          <w:sz w:val="24"/>
        </w:rPr>
        <w:t xml:space="preserve"> chromophores) and two flanking clusters near ±200° (</w:t>
      </w:r>
      <w:r>
        <w:rPr>
          <w:rFonts w:ascii="Times New Roman" w:hAnsi="Times New Roman"/>
          <w:i/>
          <w:sz w:val="24"/>
        </w:rPr>
        <w:t>trans</w:t>
      </w:r>
      <w:r>
        <w:rPr>
          <w:rFonts w:ascii="Times New Roman" w:hAnsi="Times New Roman"/>
          <w:sz w:val="24"/>
        </w:rPr>
        <w:t xml:space="preserve"> chromophores, split by the sign of the wrapped dihedrals) — so the visible structure reflects the discrete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configurations rather than a continuous emission trend, with red-shifted variants sitting toward the top of each cluster. Panel B instead plots the symmetry-folded distance from planar, which collapses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and ring-flip degeneracies: most chromophores lie near planar and are bright, while a sparse tail of strongly twisted chromophores — predominantly red FPs, including the isolated point beyond 90° — are consistently dimmer, giving the negative distance-from-planar–quantum-yield association.</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S5.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ground-state planarity yielded R² = 0.18 (n = 250). Standardized regression coefficients show that the B-factor ratio (β = –0.257, p = 6.0 × 10⁻⁵) and chromophore ground-state planarity (β = –0.245, p = 6.4 × 10⁻⁵) are the two independently significant geometric predictors, of comparable magnitude; eccentricity (β = +0.005, p = 0.96) and minor axis (β = +0.074, p = 0.39) were not significant after controlling for the other predictors. This indicates that the bivariate correlations between barrel geometry and quantum yield are mediated through chromophore planarity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0.18, with the chromophore-to-barrel B-factor ratio the dominant feature (permutation importance 0.53) and chromophore ground-state planarity second (0.41); barrel cross-sectional metrics ranked well below both. The modest R² values of both the linear (0.18) and Random Forest (0.18) models are expected and informative rather than a deficiency: quantum yield is set at the electronic-structure level — by excited-state potential-energy-surface topology, conical-intersection accessibility,⁴³ chromophore protonation and intramolecular charge transfer, local electrostatic fields, and dark-state-mediated pathways — none of which is encoded in a static ground-state crystal geometry. A structure-only predictor therefore has a natural ceiling; the companion study, adding hydrogen-bond and electrostatic descriptors, reaches only a leave-one-protein-out rank correlation of ≈ 0.44,⁴² and rigidity itself can outweigh geometry in individual variants.⁴⁴ Our models are best read as identifying which static structural features carry reproducible quantum-yield signal (chromophore-to-barrel rigidity and ground-state planarity), not as quantitative predictors of brightness.</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 chromophore chemistry,⁴⁷ protonation state and electrostatic environment,⁴⁶ and excited-state dynamics⁴⁵ — will also be important. The engineering successes of mTurquoise2,¹⁷ StayGold,⁴¹ and YuzuFP²⁸—each achieved through mutations altering chromophore–barrel packing—are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S6.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 AlphaFold area is only 11 Å² larger than the crystal mean (700 ± 49 vs 689 ± 41 Å², p = 1.5 × 10⁻⁴) —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and the PDB itself is not a random sample of all FPs — heavily studied variants such as GFP and mCherry are overrepresented while many natural and engineered FPs have no deposited structure. We addressed sampling imbalance and pseudoreplication directly (Table S7). Using a granular per-protein identity (430 unique proteins in the cohort, assigned by matched FPbase entry and chain-A sequence rather than by generic name), the principal correlations are preserved or strengthened when replicate crystals are collapsed to one entry per protein — redundancy attenuated rather than inflated them. They also hold in a monomer-only re-run (emission vs minor axis ρ = –0.46; FQY vs B-factor ratio ρ = –0.51), ruling out oligomeric-packing artifacts, and the emission–geometry relationship holds within the green class alone (minor axis ρ = –0.20, p = 3 × 10⁻⁵). The blue (n = 10) and orange (n = 11) classes are too small for within-class inference and are reported descriptively only. We therefore restrict within-class quantitative claims to the well-sampled green, red, cyan, and yellow classes, and note that the family-wide correlations are robust across the monomeric subset;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S7) and barrel geometry by chromophore type (Figure S8)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Quantum yield, in turn, is set not by barrel size but by how rigidly the barrel holds the chromophore: the chromophore-to-barrel B-factor ratio is the strongest barrel-relative correlate (ρ = –0.49 per unique FP), with the chromophore’s own ground-state planarity an independent signal of comparable strength (ρ = –0.42) whose red-FP–specific structure is resolved by a companion torsional-scan analysis.⁴² Barrel eccentricity in addition correlates with chromophore dihedral twist,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 Chemistry Department, Connecticut College, New London, CT 06320, United States. ORCID: 0000-0000-0000-0000.</w:t>
      </w:r>
    </w:p>
    <w:p>
      <w:pPr>
        <w:spacing w:line="480" w:lineRule="auto"/>
        <w:ind w:firstLine="720"/>
      </w:pPr>
      <w:r>
        <w:rPr>
          <w:rFonts w:ascii="Times New Roman" w:hAnsi="Times New Roman"/>
          <w:sz w:val="24"/>
        </w:rPr>
        <w:t>Madeline L. Mason —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Funding.</w:t>
      </w:r>
    </w:p>
    <w:p>
      <w:pPr>
        <w:spacing w:line="480" w:lineRule="auto"/>
        <w:ind w:firstLine="720"/>
      </w:pPr>
      <w:r>
        <w:rPr>
          <w:rFonts w:ascii="Times New Roman" w:hAnsi="Times New Roman"/>
          <w:sz w:val="24"/>
        </w:rPr>
        <w:t>This research received no external funding.</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i/>
          <w:sz w:val="24"/>
        </w:rPr>
        <w:t>Data and Software Availability.</w:t>
      </w:r>
    </w:p>
    <w:p>
      <w:pPr>
        <w:spacing w:line="480" w:lineRule="auto"/>
        <w:ind w:firstLine="720"/>
      </w:pPr>
      <w:r>
        <w:rPr>
          <w:rFonts w:ascii="Times New Roman" w:hAnsi="Times New Roman"/>
          <w:sz w:val="24"/>
        </w:rPr>
        <w:t>All Python scripts used for CIF parsing, PCA-based barrel axis determination, cross-sectional slicing, convex hull analysis, spectral data matching, B-factor extraction, dihedral angle computation, statistical analysis, and figure generation were developed with the assistance of Claude (Anthropic) via Claude Code and are available at https://github.com/LukeBegg1/gfp-barrel-geometry. The complete per-structure dataset (Table S1) is provided as a CSV file in the Supporting Information.</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pPr>
        <w:spacing w:line="360" w:lineRule="auto"/>
        <w:ind w:left="720" w:hanging="720"/>
      </w:pPr>
      <w:r>
        <w:rPr>
          <w:rFonts w:ascii="Times New Roman" w:hAnsi="Times New Roman"/>
          <w:sz w:val="20"/>
        </w:rPr>
        <w:t>(42) Zimmer, M. Ground-State Chromophore Geometry, Not Cage Size, Tracks Quantum Yield in Fluorescent Proteins. Biophys. J. 2026, submitted. [companion paper; this work is cited therein]</w:t>
      </w:r>
    </w:p>
    <w:p>
      <w:pPr>
        <w:spacing w:line="360" w:lineRule="auto"/>
        <w:ind w:left="720" w:hanging="720"/>
      </w:pPr>
      <w:r>
        <w:rPr>
          <w:rFonts w:ascii="Times New Roman" w:hAnsi="Times New Roman"/>
          <w:sz w:val="20"/>
        </w:rPr>
        <w:t>(43) Pieri, E.; Walker, A. R.; Zhu, M.; Martínez, T. J. Conical Intersection Accessibility Dictates Brightness in Red Fluorescent Proteins. J. Am. Chem. Soc. 2024, 146, 17646–17658.</w:t>
      </w:r>
    </w:p>
    <w:p>
      <w:pPr>
        <w:spacing w:line="360" w:lineRule="auto"/>
        <w:ind w:left="720" w:hanging="720"/>
      </w:pPr>
      <w:r>
        <w:rPr>
          <w:rFonts w:ascii="Times New Roman" w:hAnsi="Times New Roman"/>
          <w:sz w:val="20"/>
        </w:rPr>
        <w:t>(44) Chen, C.; Pathiranage, V.; Ong, W. S. Y.; Dodani, S. C.; Walker, A. R.; Fang, C. A Twisted Chromophore Powers a Turn-On Fluorescent Protein Chloride Sensor. Proc. Natl. Acad. Sci. U. S. A. 2025, 122, e2508094122.</w:t>
      </w:r>
    </w:p>
    <w:p>
      <w:pPr>
        <w:spacing w:line="360" w:lineRule="auto"/>
        <w:ind w:left="720" w:hanging="720"/>
      </w:pPr>
      <w:r>
        <w:rPr>
          <w:rFonts w:ascii="Times New Roman" w:hAnsi="Times New Roman"/>
          <w:sz w:val="20"/>
        </w:rPr>
        <w:t>(45) Meech, S. R. Excited-State Reactions in Fluorescent Proteins. Chem. Soc. Rev. 2009, 38, 2922–2934.</w:t>
      </w:r>
    </w:p>
    <w:p>
      <w:pPr>
        <w:spacing w:line="360" w:lineRule="auto"/>
        <w:ind w:left="720" w:hanging="720"/>
      </w:pPr>
      <w:r>
        <w:rPr>
          <w:rFonts w:ascii="Times New Roman" w:hAnsi="Times New Roman"/>
          <w:sz w:val="20"/>
        </w:rPr>
        <w:t>(46) Park, J. W.; Rhee, Y. M. Electric Field Keeps Chromophore Planar and Produces High Yield Fluorescence in Green Fluorescent Protein. J. Am. Chem. Soc. 2016, 138, 13619–13629.</w:t>
      </w:r>
    </w:p>
    <w:p>
      <w:pPr>
        <w:spacing w:line="360" w:lineRule="auto"/>
        <w:ind w:left="720" w:hanging="720"/>
      </w:pPr>
      <w:r>
        <w:rPr>
          <w:rFonts w:ascii="Times New Roman" w:hAnsi="Times New Roman"/>
          <w:sz w:val="20"/>
        </w:rPr>
        <w:t>(47) Jones, C. M.; List, N. H.; Martínez, T. J. Steric and Electronic Origins of Fluorescence in GFP and GFP-like Proteins. J. Am. Chem. Soc. 2022, 144, 12732–12746.</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