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Pr>
        <w:jc w:val="center"/>
      </w:pPr>
      <w:r>
        <w:rPr>
          <w:rFonts w:ascii="Times New Roman" w:hAnsi="Times New Roman"/>
          <w:sz w:val="22"/>
        </w:rPr>
        <w:t>*Corresponding author. E-mail: mzim@conncoll.edu</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 predominantly red FPs, including the isolated point beyond 90° —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 chromophore chemistry,⁴⁷ protonation state and electrostatic environment,⁴⁶ and excited-state dynamics⁴⁵ —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Funding.</w:t>
      </w:r>
    </w:p>
    <w:p>
      <w:pPr>
        <w:spacing w:line="480" w:lineRule="auto"/>
        <w:ind w:firstLine="720"/>
      </w:pPr>
      <w:r>
        <w:rPr>
          <w:rFonts w:ascii="Times New Roman" w:hAnsi="Times New Roman"/>
          <w:sz w:val="24"/>
        </w:rPr>
        <w:t>This research received no external funding.</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i/>
          <w:sz w:val="24"/>
        </w:rPr>
        <w:t>Data and Software Availability.</w:t>
      </w:r>
    </w:p>
    <w:p>
      <w:pPr>
        <w:spacing w:line="480" w:lineRule="auto"/>
        <w:ind w:firstLine="720"/>
      </w:pPr>
      <w:r>
        <w:rPr>
          <w:rFonts w:ascii="Times New Roman" w:hAnsi="Times New Roman"/>
          <w:sz w:val="24"/>
        </w:rPr>
        <w:t>All Python scripts used for CIF parsing, PCA-based barrel axis determination, cross-sectional slicing, convex hull analysis, spectral data matching, B-factor extraction, dihedral angle computation, statistical analysis, and figure generation were developed with the assistance of Claude (Anthropic) via Claude Code and are available at https://github.com/LukeBegg1/gfp-barrel-geometry. The complete per-structure dataset (Table S1) is provided as a CSV file in the Supporting Information.</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r>
        <w:br w:type="page"/>
      </w:r>
    </w:p>
    <w:p>
      <w:pPr>
        <w:keepNext/>
        <w:jc w:val="center"/>
      </w:pPr>
      <w:r>
        <w:drawing>
          <wp:inline xmlns:a="http://schemas.openxmlformats.org/drawingml/2006/main" xmlns:pic="http://schemas.openxmlformats.org/drawingml/2006/picture">
            <wp:extent cx="5943600" cy="3834342"/>
            <wp:docPr id="4" name="Picture 4"/>
            <wp:cNvGraphicFramePr>
              <a:graphicFrameLocks noChangeAspect="1"/>
            </wp:cNvGraphicFramePr>
            <a:graphic>
              <a:graphicData uri="http://schemas.openxmlformats.org/drawingml/2006/picture">
                <pic:pic>
                  <pic:nvPicPr>
                    <pic:cNvPr id="0" name="figS1_chromophore_effect.png"/>
                    <pic:cNvPicPr/>
                  </pic:nvPicPr>
                  <pic:blipFill>
                    <a:blip r:embed="rId13"/>
                    <a:stretch>
                      <a:fillRect/>
                    </a:stretch>
                  </pic:blipFill>
                  <pic:spPr>
                    <a:xfrm>
                      <a:off x="0" y="0"/>
                      <a:ext cx="5943600" cy="3834342"/>
                    </a:xfrm>
                    <a:prstGeom prst="rect"/>
                  </pic:spPr>
                </pic:pic>
              </a:graphicData>
            </a:graphic>
          </wp:inline>
        </w:drawing>
      </w:r>
    </w:p>
    <w:p>
      <w:pPr>
        <w:keepLines/>
        <w:spacing w:after="120"/>
        <w:jc w:val="left"/>
      </w:pPr>
      <w:r>
        <w:rPr>
          <w:rFonts w:ascii="Times New Roman" w:hAnsi="Times New Roman"/>
          <w:sz w:val="20"/>
        </w:rPr>
        <w:t>Figure S1.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943600" cy="4810019"/>
            <wp:docPr id="5" name="Picture 5"/>
            <wp:cNvGraphicFramePr>
              <a:graphicFrameLocks noChangeAspect="1"/>
            </wp:cNvGraphicFramePr>
            <a:graphic>
              <a:graphicData uri="http://schemas.openxmlformats.org/drawingml/2006/picture">
                <pic:pic>
                  <pic:nvPicPr>
                    <pic:cNvPr id="0" name="figS2_color_class.png"/>
                    <pic:cNvPicPr/>
                  </pic:nvPicPr>
                  <pic:blipFill>
                    <a:blip r:embed="rId14"/>
                    <a:stretch>
                      <a:fillRect/>
                    </a:stretch>
                  </pic:blipFill>
                  <pic:spPr>
                    <a:xfrm>
                      <a:off x="0" y="0"/>
                      <a:ext cx="5943600" cy="4810019"/>
                    </a:xfrm>
                    <a:prstGeom prst="rect"/>
                  </pic:spPr>
                </pic:pic>
              </a:graphicData>
            </a:graphic>
          </wp:inline>
        </w:drawing>
      </w:r>
    </w:p>
    <w:p>
      <w:pPr>
        <w:keepLines/>
        <w:spacing w:after="120"/>
        <w:jc w:val="left"/>
      </w:pPr>
      <w:r>
        <w:rPr>
          <w:rFonts w:ascii="Times New Roman" w:hAnsi="Times New Roman"/>
          <w:sz w:val="20"/>
        </w:rPr>
        <w:t>Figure S2.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029200" cy="6507110"/>
            <wp:docPr id="6" name="Picture 6"/>
            <wp:cNvGraphicFramePr>
              <a:graphicFrameLocks noChangeAspect="1"/>
            </wp:cNvGraphicFramePr>
            <a:graphic>
              <a:graphicData uri="http://schemas.openxmlformats.org/drawingml/2006/picture">
                <pic:pic>
                  <pic:nvPicPr>
                    <pic:cNvPr id="0" name="figS3_megley.png"/>
                    <pic:cNvPicPr/>
                  </pic:nvPicPr>
                  <pic:blipFill>
                    <a:blip r:embed="rId15"/>
                    <a:stretch>
                      <a:fillRect/>
                    </a:stretch>
                  </pic:blipFill>
                  <pic:spPr>
                    <a:xfrm>
                      <a:off x="0" y="0"/>
                      <a:ext cx="5029200" cy="6507110"/>
                    </a:xfrm>
                    <a:prstGeom prst="rect"/>
                  </pic:spPr>
                </pic:pic>
              </a:graphicData>
            </a:graphic>
          </wp:inline>
        </w:drawing>
      </w:r>
    </w:p>
    <w:p>
      <w:pPr>
        <w:keepLines/>
        <w:spacing w:after="120"/>
        <w:jc w:val="left"/>
      </w:pPr>
      <w:r>
        <w:rPr>
          <w:rFonts w:ascii="Times New Roman" w:hAnsi="Times New Roman"/>
          <w:sz w:val="20"/>
        </w:rPr>
        <w:t>Figure S3.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4730620"/>
            <wp:docPr id="7" name="Picture 7"/>
            <wp:cNvGraphicFramePr>
              <a:graphicFrameLocks noChangeAspect="1"/>
            </wp:cNvGraphicFramePr>
            <a:graphic>
              <a:graphicData uri="http://schemas.openxmlformats.org/drawingml/2006/picture">
                <pic:pic>
                  <pic:nvPicPr>
                    <pic:cNvPr id="0" name="figS4_cis_trans.png"/>
                    <pic:cNvPicPr/>
                  </pic:nvPicPr>
                  <pic:blipFill>
                    <a:blip r:embed="rId16"/>
                    <a:stretch>
                      <a:fillRect/>
                    </a:stretch>
                  </pic:blipFill>
                  <pic:spPr>
                    <a:xfrm>
                      <a:off x="0" y="0"/>
                      <a:ext cx="5943600" cy="4730620"/>
                    </a:xfrm>
                    <a:prstGeom prst="rect"/>
                  </pic:spPr>
                </pic:pic>
              </a:graphicData>
            </a:graphic>
          </wp:inline>
        </w:drawing>
      </w:r>
    </w:p>
    <w:p>
      <w:pPr>
        <w:keepLines/>
        <w:spacing w:after="120"/>
        <w:jc w:val="left"/>
      </w:pPr>
      <w:r>
        <w:rPr>
          <w:rFonts w:ascii="Times New Roman" w:hAnsi="Times New Roman"/>
          <w:sz w:val="20"/>
        </w:rPr>
        <w:t>Figure S4. Barrel geometry by chromophore configuration (</w:t>
      </w:r>
      <w:r>
        <w:rPr>
          <w:rFonts w:ascii="Times New Roman" w:hAnsi="Times New Roman"/>
          <w:i/>
          <w:sz w:val="20"/>
        </w:rPr>
        <w:t>cis</w:t>
      </w:r>
      <w:r>
        <w:rPr>
          <w:rFonts w:ascii="Times New Roman" w:hAnsi="Times New Roman"/>
          <w:sz w:val="20"/>
        </w:rPr>
        <w:t xml:space="preserve">, </w:t>
      </w:r>
      <w:r>
        <w:rPr>
          <w:rFonts w:ascii="Times New Roman" w:hAnsi="Times New Roman"/>
          <w:i/>
          <w:sz w:val="20"/>
        </w:rPr>
        <w:t>trans</w:t>
      </w:r>
      <w:r>
        <w:rPr>
          <w:rFonts w:ascii="Times New Roman" w:hAnsi="Times New Roman"/>
          <w:sz w:val="20"/>
        </w:rPr>
        <w:t>, and twisted).</w:t>
      </w:r>
    </w:p>
    <w:p/>
    <w:p>
      <w:r>
        <w:br w:type="page"/>
      </w:r>
    </w:p>
    <w:p>
      <w:pPr>
        <w:keepNext/>
        <w:jc w:val="center"/>
      </w:pPr>
      <w:r>
        <w:drawing>
          <wp:inline xmlns:a="http://schemas.openxmlformats.org/drawingml/2006/main" xmlns:pic="http://schemas.openxmlformats.org/drawingml/2006/picture">
            <wp:extent cx="5943600" cy="4733371"/>
            <wp:docPr id="8" name="Picture 8"/>
            <wp:cNvGraphicFramePr>
              <a:graphicFrameLocks noChangeAspect="1"/>
            </wp:cNvGraphicFramePr>
            <a:graphic>
              <a:graphicData uri="http://schemas.openxmlformats.org/drawingml/2006/picture">
                <pic:pic>
                  <pic:nvPicPr>
                    <pic:cNvPr id="0" name="figS5_resolution.png"/>
                    <pic:cNvPicPr/>
                  </pic:nvPicPr>
                  <pic:blipFill>
                    <a:blip r:embed="rId17"/>
                    <a:stretch>
                      <a:fillRect/>
                    </a:stretch>
                  </pic:blipFill>
                  <pic:spPr>
                    <a:xfrm>
                      <a:off x="0" y="0"/>
                      <a:ext cx="5943600" cy="4733371"/>
                    </a:xfrm>
                    <a:prstGeom prst="rect"/>
                  </pic:spPr>
                </pic:pic>
              </a:graphicData>
            </a:graphic>
          </wp:inline>
        </w:drawing>
      </w:r>
    </w:p>
    <w:p>
      <w:pPr>
        <w:keepLines/>
        <w:spacing w:after="120"/>
        <w:jc w:val="left"/>
      </w:pPr>
      <w:r>
        <w:rPr>
          <w:rFonts w:ascii="Times New Roman" w:hAnsi="Times New Roman"/>
          <w:sz w:val="20"/>
        </w:rPr>
        <w:t>Figure S5.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3920669"/>
            <wp:docPr id="9" name="Picture 9"/>
            <wp:cNvGraphicFramePr>
              <a:graphicFrameLocks noChangeAspect="1"/>
            </wp:cNvGraphicFramePr>
            <a:graphic>
              <a:graphicData uri="http://schemas.openxmlformats.org/drawingml/2006/picture">
                <pic:pic>
                  <pic:nvPicPr>
                    <pic:cNvPr id="0" name="figS6_alphafold_paired.png"/>
                    <pic:cNvPicPr/>
                  </pic:nvPicPr>
                  <pic:blipFill>
                    <a:blip r:embed="rId18"/>
                    <a:stretch>
                      <a:fillRect/>
                    </a:stretch>
                  </pic:blipFill>
                  <pic:spPr>
                    <a:xfrm>
                      <a:off x="0" y="0"/>
                      <a:ext cx="5943600" cy="3920669"/>
                    </a:xfrm>
                    <a:prstGeom prst="rect"/>
                  </pic:spPr>
                </pic:pic>
              </a:graphicData>
            </a:graphic>
          </wp:inline>
        </w:drawing>
      </w:r>
    </w:p>
    <w:p>
      <w:pPr>
        <w:keepLines/>
        <w:spacing w:after="120"/>
        <w:jc w:val="left"/>
      </w:pPr>
      <w:r>
        <w:rPr>
          <w:rFonts w:ascii="Times New Roman" w:hAnsi="Times New Roman"/>
          <w:sz w:val="20"/>
        </w:rPr>
        <w:t>Figure S6.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p>
      <w:r>
        <w:br w:type="page"/>
      </w:r>
    </w:p>
    <w:p>
      <w:pPr>
        <w:keepNext/>
        <w:jc w:val="center"/>
      </w:pPr>
      <w:r>
        <w:drawing>
          <wp:inline xmlns:a="http://schemas.openxmlformats.org/drawingml/2006/main" xmlns:pic="http://schemas.openxmlformats.org/drawingml/2006/picture">
            <wp:extent cx="5943600" cy="5163140"/>
            <wp:docPr id="10" name="Picture 10"/>
            <wp:cNvGraphicFramePr>
              <a:graphicFrameLocks noChangeAspect="1"/>
            </wp:cNvGraphicFramePr>
            <a:graphic>
              <a:graphicData uri="http://schemas.openxmlformats.org/drawingml/2006/picture">
                <pic:pic>
                  <pic:nvPicPr>
                    <pic:cNvPr id="0" name="figS7_heatmap.png"/>
                    <pic:cNvPicPr/>
                  </pic:nvPicPr>
                  <pic:blipFill>
                    <a:blip r:embed="rId19"/>
                    <a:stretch>
                      <a:fillRect/>
                    </a:stretch>
                  </pic:blipFill>
                  <pic:spPr>
                    <a:xfrm>
                      <a:off x="0" y="0"/>
                      <a:ext cx="5943600" cy="5163140"/>
                    </a:xfrm>
                    <a:prstGeom prst="rect"/>
                  </pic:spPr>
                </pic:pic>
              </a:graphicData>
            </a:graphic>
          </wp:inline>
        </w:drawing>
      </w:r>
    </w:p>
    <w:p>
      <w:pPr>
        <w:keepLines/>
        <w:spacing w:after="120"/>
        <w:jc w:val="left"/>
      </w:pPr>
      <w:r>
        <w:rPr>
          <w:rFonts w:ascii="Times New Roman" w:hAnsi="Times New Roman"/>
          <w:sz w:val="20"/>
        </w:rPr>
        <w:t>Figure S7.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80615"/>
            <wp:docPr id="11" name="Picture 11"/>
            <wp:cNvGraphicFramePr>
              <a:graphicFrameLocks noChangeAspect="1"/>
            </wp:cNvGraphicFramePr>
            <a:graphic>
              <a:graphicData uri="http://schemas.openxmlformats.org/drawingml/2006/picture">
                <pic:pic>
                  <pic:nvPicPr>
                    <pic:cNvPr id="0" name="figS8_chromophore_types.png"/>
                    <pic:cNvPicPr/>
                  </pic:nvPicPr>
                  <pic:blipFill>
                    <a:blip r:embed="rId20"/>
                    <a:stretch>
                      <a:fillRect/>
                    </a:stretch>
                  </pic:blipFill>
                  <pic:spPr>
                    <a:xfrm>
                      <a:off x="0" y="0"/>
                      <a:ext cx="5943600" cy="6280615"/>
                    </a:xfrm>
                    <a:prstGeom prst="rect"/>
                  </pic:spPr>
                </pic:pic>
              </a:graphicData>
            </a:graphic>
          </wp:inline>
        </w:drawing>
      </w:r>
    </w:p>
    <w:p>
      <w:pPr>
        <w:keepLines/>
        <w:spacing w:after="120"/>
        <w:jc w:val="left"/>
      </w:pPr>
      <w:r>
        <w:rPr>
          <w:rFonts w:ascii="Times New Roman" w:hAnsi="Times New Roman"/>
          <w:sz w:val="20"/>
        </w:rPr>
        <w:t>Figure S8. Barrel geometry by chromophore residue type. Chromophore codes with n &lt; 5 are omitted for legibility; this excludes the four His66-derived (blue) codes (IIC, CRG, CSH, XXY; n = 1, 3, 4, and 1 respectively).</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