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Nature Methods Cover Letter Draft</w:t>
      </w:r>
    </w:p>
    <w:p>
      <w:r>
        <w:t>Dear Editors,</w:t>
      </w:r>
    </w:p>
    <w:p>
      <w:r>
        <w:t>We submit "SheafSignal maps frustration in cell communication networks" for</w:t>
      </w:r>
    </w:p>
    <w:p>
      <w:r>
        <w:t>consideration as a Methods article.</w:t>
      </w:r>
    </w:p>
    <w:p>
      <w:r>
        <w:t>Current cell-cell communication analyses primarily prioritize ligand-receptor</w:t>
      </w:r>
    </w:p>
    <w:p>
      <w:r>
        <w:t>activity between sender and receiver populations. SheafSignal asks a different</w:t>
      </w:r>
    </w:p>
    <w:p>
      <w:r>
        <w:t>network-level question: whether inferred communication is self-consistent</w:t>
      </w:r>
    </w:p>
    <w:p>
      <w:r>
        <w:t>across a biological graph. The method represents communication as a</w:t>
      </w:r>
    </w:p>
    <w:p>
      <w:r>
        <w:t>sheaf-valued flow and uses Hodge decomposition to quantify edge-level</w:t>
      </w:r>
    </w:p>
    <w:p>
      <w:r>
        <w:t>frustration, local feedback-like structure and global circulation-like</w:t>
      </w:r>
    </w:p>
    <w:p>
      <w:r>
        <w:t>structure.</w:t>
      </w:r>
    </w:p>
    <w:p>
      <w:r>
        <w:t>The manuscript is supported by controlled Hodge-component simulations, public</w:t>
      </w:r>
    </w:p>
    <w:p>
      <w:r>
        <w:t>tumor microenvironment benchmarks, a spatial transcriptomics demonstration,</w:t>
      </w:r>
    </w:p>
    <w:p>
      <w:r>
        <w:t>and comparator analyses against ligand-receptor product baselines, LIANA,</w:t>
      </w:r>
    </w:p>
    <w:p>
      <w:r>
        <w:t>MechanisticTargetPrior and bounded nichenetr-engine scoring with a transparent</w:t>
      </w:r>
    </w:p>
    <w:p>
      <w:r>
        <w:t>project-curated prior. Biological interpretation is deliberately gated; for</w:t>
      </w:r>
    </w:p>
    <w:p>
      <w:r>
        <w:t>example, in GSE154778 pancreatic cancer, Myeloid is retained as the main</w:t>
      </w:r>
    </w:p>
    <w:p>
      <w:r>
        <w:t>claim-gated computational signal, while sparse categories remain supplementary</w:t>
      </w:r>
    </w:p>
    <w:p>
      <w:r>
        <w:t>quality-control context.</w:t>
      </w:r>
    </w:p>
    <w:p>
      <w:r>
        <w:t>The study is positioned as a reproducible computational methods contribution.</w:t>
      </w:r>
    </w:p>
    <w:p>
      <w:r>
        <w:t>It does not claim clinical utility, treatment guidance, treatment-response</w:t>
      </w:r>
    </w:p>
    <w:p>
      <w:r>
        <w:t>prediction, guaranteed publication or broad superiority over all communication</w:t>
      </w:r>
    </w:p>
    <w:p>
      <w:r>
        <w:t>tools. Source code, tests, benchmark scripts and release manifests are prepared</w:t>
      </w:r>
    </w:p>
    <w:p>
      <w:r>
        <w:t>for public GitHub release, and processed benchmark objects are prepared for</w:t>
      </w:r>
    </w:p>
    <w:p>
      <w:r>
        <w:t>Zenodo deposition before submission.</w:t>
      </w:r>
    </w:p>
    <w:p>
      <w:r>
        <w:t>Sincerely,</w:t>
      </w:r>
    </w:p>
    <w:p>
      <w:r>
        <w:t>TBD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