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SheafSignal maps communication frustration in tissue signaling networks</w:t>
      </w:r>
    </w:p>
    <w:p>
      <w:r>
        <w:t>Article type: Methods article</w:t>
      </w:r>
    </w:p>
    <w:p>
      <w:r>
        <w:t>Authors: TBD</w:t>
      </w:r>
    </w:p>
    <w:p>
      <w:r>
        <w:t>Affiliations: TBD</w:t>
      </w:r>
    </w:p>
    <w:p>
      <w:r>
        <w:t>Correspondence: TBD</w:t>
      </w:r>
    </w:p>
    <w:p>
      <w:pPr>
        <w:pStyle w:val="Heading2"/>
      </w:pPr>
      <w:r>
        <w:t>Abstract</w:t>
      </w:r>
    </w:p>
    <w:p>
      <w:r>
        <w:t>Cell-cell communication methods transform transcriptomes into candidate</w:t>
      </w:r>
    </w:p>
    <w:p>
      <w:r>
        <w:t>ligand-receptor links, but they usually evaluate those links pairwise rather</w:t>
      </w:r>
    </w:p>
    <w:p>
      <w:r>
        <w:t>than asking whether the resulting tissue-level communication network is</w:t>
      </w:r>
    </w:p>
    <w:p>
      <w:r>
        <w:t>self-consistent. We present SheafSignal, a computational framework that models</w:t>
      </w:r>
    </w:p>
    <w:p>
      <w:r>
        <w:t>cell-cell communication as a sheaf-valued flow over a biological graph and</w:t>
      </w:r>
    </w:p>
    <w:p>
      <w:r>
        <w:t>uses Hodge decomposition to quantify edge-level frustration, directional</w:t>
      </w:r>
    </w:p>
    <w:p>
      <w:r>
        <w:t>signal, local feedback-like structure and global circulation-like structure.</w:t>
      </w:r>
    </w:p>
    <w:p>
      <w:r>
        <w:t>Controlled simulations recovered gradient, curl, harmonic and mixed-flow</w:t>
      </w:r>
    </w:p>
    <w:p>
      <w:r>
        <w:t>components. In public tumor-microenvironment benchmarks spanning melanoma,</w:t>
      </w:r>
    </w:p>
    <w:p>
      <w:r>
        <w:t>pancreatic cancer, breast cancer single-cell RNA-seq and breast Visium data,</w:t>
      </w:r>
    </w:p>
    <w:p>
      <w:r>
        <w:t>SheafSignal identified context-specific frustration architectures rather than</w:t>
      </w:r>
    </w:p>
    <w:p>
      <w:r>
        <w:t>a universal source cell type. In pancreatic cancer, pre-specified annotation,</w:t>
      </w:r>
    </w:p>
    <w:p>
      <w:r>
        <w:t>sample-support and sparse-category gates retained Myeloid as the only</w:t>
      </w:r>
    </w:p>
    <w:p>
      <w:r>
        <w:t>main-text cell-type-level computational signal. Comparisons with ligand-</w:t>
      </w:r>
    </w:p>
    <w:p>
      <w:r>
        <w:t>receptor product scoring, LIANA, bounded nichenetr-engine scoring and a</w:t>
      </w:r>
    </w:p>
    <w:p>
      <w:r>
        <w:t>mechanistic target-prior baseline showed alignment with existing communication</w:t>
      </w:r>
    </w:p>
    <w:p>
      <w:r>
        <w:t>evidence while preserving a distinct inconsistency-focused readout.</w:t>
      </w:r>
    </w:p>
    <w:p>
      <w:r>
        <w:t>SheafSignal provides a reproducible route for studying when inferred</w:t>
      </w:r>
    </w:p>
    <w:p>
      <w:r>
        <w:t>communication is discordant with pathway-state structure, complementing</w:t>
      </w:r>
    </w:p>
    <w:p>
      <w:r>
        <w:t>existing intensity-focused cell-cell communication tools.</w:t>
      </w:r>
    </w:p>
    <w:p>
      <w:pPr>
        <w:pStyle w:val="Heading2"/>
      </w:pPr>
      <w:r>
        <w:t>Introduction</w:t>
      </w:r>
    </w:p>
    <w:p>
      <w:r>
        <w:t>Single-cell and spatial transcriptomics have made cell-cell communication</w:t>
      </w:r>
    </w:p>
    <w:p>
      <w:r>
        <w:t>analysis a routine part of tissue profiling. Widely used methods including</w:t>
      </w:r>
    </w:p>
    <w:p>
      <w:r>
        <w:t>CellChat, CellPhoneDB, NicheNet and LIANA prioritize candidate interactions by</w:t>
      </w:r>
    </w:p>
    <w:p>
      <w:r>
        <w:t>combining ligand, receptor and, in some settings, downstream target evidence</w:t>
      </w:r>
    </w:p>
    <w:p>
      <w:r>
        <w:t>[@cellchat_jin_2021; @cellphonedb_efremova_2020; @cellphonedb_troule_2025;</w:t>
      </w:r>
    </w:p>
    <w:p>
      <w:r>
        <w:t>@nichenet_browaeys_2020; @nichenet_protocol_sangaram_2025;</w:t>
      </w:r>
    </w:p>
    <w:p>
      <w:r>
        <w:t>@liana_plus_dimitrov_2024]. These approaches answer an essential question:</w:t>
      </w:r>
    </w:p>
    <w:p>
      <w:r>
        <w:t>which sender-receiver pairs have plausible communication evidence? They do</w:t>
      </w:r>
    </w:p>
    <w:p>
      <w:r>
        <w:t>not, by design, fully answer a different graph-level question: whether the</w:t>
      </w:r>
    </w:p>
    <w:p>
      <w:r>
        <w:t>collection of inferred communication edges is self-consistent with tissue-wide</w:t>
      </w:r>
    </w:p>
    <w:p>
      <w:r>
        <w:t>pathway-state change.</w:t>
      </w:r>
    </w:p>
    <w:p>
      <w:r>
        <w:t>This distinction becomes important when communication is interpreted as a</w:t>
      </w:r>
    </w:p>
    <w:p>
      <w:r>
        <w:t>network process rather than as an ordered list of ligand-receptor scores. A</w:t>
      </w:r>
    </w:p>
    <w:p>
      <w:r>
        <w:t>high-scoring edge can be locally inconsistent with the receiver-state</w:t>
      </w:r>
    </w:p>
    <w:p>
      <w:r>
        <w:t>transition, and a set of individually plausible edges can form feedback-like</w:t>
      </w:r>
    </w:p>
    <w:p>
      <w:r>
        <w:t>or circulation-like structure that is not reducible to pairwise intensity.</w:t>
      </w:r>
    </w:p>
    <w:p>
      <w:r>
        <w:t>Existing benchmarks have clarified how communication tools differ in their</w:t>
      </w:r>
    </w:p>
    <w:p>
      <w:r>
        <w:t>resources and scoring assumptions [@ccc_comparison_dimitrov_2022], but a</w:t>
      </w:r>
    </w:p>
    <w:p>
      <w:r>
        <w:t>method is still needed for quantifying inconsistency, feedback and circulation</w:t>
      </w:r>
    </w:p>
    <w:p>
      <w:r>
        <w:t>directly on the inferred communication graph.</w:t>
      </w:r>
    </w:p>
    <w:p>
      <w:r>
        <w:t>SheafSignal addresses this gap by changing the mathematical object under</w:t>
      </w:r>
    </w:p>
    <w:p>
      <w:r>
        <w:t>analysis. For each directed sender-receiver edge, the method compares</w:t>
      </w:r>
    </w:p>
    <w:p>
      <w:r>
        <w:t>ligand-receptor communication evidence with a receiver pathway-state</w:t>
      </w:r>
    </w:p>
    <w:p>
      <w:r>
        <w:t>transition and treats the mismatch as sheaf energy, or communication</w:t>
      </w:r>
    </w:p>
    <w:p>
      <w:r>
        <w:t>frustration. The resulting edge flow is then decomposed using graph Hodge</w:t>
      </w:r>
    </w:p>
    <w:p>
      <w:r>
        <w:t>theory into gradient, curl and harmonic components [@hodge_rank_jiang_2011;</w:t>
      </w:r>
    </w:p>
    <w:p>
      <w:r>
        <w:t>@hodge_laplacians_lim_2020], with cellular sheaves providing the language for</w:t>
      </w:r>
    </w:p>
    <w:p>
      <w:r>
        <w:t>local-to-global consistency constraints [@cellular_sheaves_hansen_2019].</w:t>
      </w:r>
    </w:p>
    <w:p>
      <w:r>
        <w:t>SheafSignal therefore asks not only where communication is strong, but where</w:t>
      </w:r>
    </w:p>
    <w:p>
      <w:r>
        <w:t>it is inconsistent with the state changes it is expected to explain.</w:t>
      </w:r>
    </w:p>
    <w:p>
      <w:r>
        <w:t>Here we evaluate SheafSignal as a reproducible methods framework. The study</w:t>
      </w:r>
    </w:p>
    <w:p>
      <w:r>
        <w:t>uses controlled mathematical simulations, public tumor microenvironment</w:t>
      </w:r>
    </w:p>
    <w:p>
      <w:r>
        <w:t>single-cell benchmarks, a public spatial transcriptomics demonstration,</w:t>
      </w:r>
    </w:p>
    <w:p>
      <w:r>
        <w:t>external comparator alignments and explicit claim gates for sparse or</w:t>
      </w:r>
    </w:p>
    <w:p>
      <w:r>
        <w:t>uncertain annotations. The central claim is methodological: SheafSignal</w:t>
      </w:r>
    </w:p>
    <w:p>
      <w:r>
        <w:t>provides a graph-consistency view of cell-cell communication that complements,</w:t>
      </w:r>
    </w:p>
    <w:p>
      <w:r>
        <w:t>but does not replace, established ligand-receptor prioritization.</w:t>
      </w:r>
    </w:p>
    <w:p>
      <w:pPr>
        <w:pStyle w:val="Heading2"/>
      </w:pPr>
      <w:r>
        <w:t>Results</w:t>
      </w:r>
    </w:p>
    <w:p>
      <w:pPr>
        <w:pStyle w:val="Heading3"/>
      </w:pPr>
      <w:r>
        <w:t>A sheaf-valued flow defines communication frustration</w:t>
      </w:r>
    </w:p>
    <w:p>
      <w:r>
        <w:t>SheafSignal takes a cell-by-gene or profile-by-gene expression table,</w:t>
      </w:r>
    </w:p>
    <w:p>
      <w:r>
        <w:t>cell-type annotations, ligand-receptor pairs and a pathway or target-gene set.</w:t>
      </w:r>
    </w:p>
    <w:p>
      <w:r>
        <w:t>It builds a directed cell-type graph in which each sender-receiver edge carries</w:t>
      </w:r>
    </w:p>
    <w:p>
      <w:r>
        <w:t>two quantities: communication evidence derived from sender ligand and receiver</w:t>
      </w:r>
    </w:p>
    <w:p>
      <w:r>
        <w:t>receptor expression, and a pathway-state transition estimated in the receiver</w:t>
      </w:r>
    </w:p>
    <w:p>
      <w:r>
        <w:t>context. Edge-level sheaf energy is the standardized mismatch between these</w:t>
      </w:r>
    </w:p>
    <w:p>
      <w:r>
        <w:t>quantities. Node-level frustration scores summarize the share of outgoing</w:t>
      </w:r>
    </w:p>
    <w:p>
      <w:r>
        <w:t>inconsistency contributed by each sender population, while global</w:t>
      </w:r>
    </w:p>
    <w:p>
      <w:r>
        <w:t>gradient/curl/harmonic ratios summarize the structure of the resulting flow.</w:t>
      </w:r>
    </w:p>
    <w:p>
      <w:r>
        <w:t>This design separates three outputs that are conflated in ordinary edge</w:t>
      </w:r>
    </w:p>
    <w:p>
      <w:r>
        <w:t>ranking. A gradient-dominated flow is largely explainable by node potentials;</w:t>
      </w:r>
    </w:p>
    <w:p>
      <w:r>
        <w:t>curl captures local feedback-like inconsistency around triangular motifs; and</w:t>
      </w:r>
    </w:p>
    <w:p>
      <w:r>
        <w:t>harmonic energy represents residual circulation-like structure that is neither</w:t>
      </w:r>
    </w:p>
    <w:p>
      <w:r>
        <w:t>node-potential nor local-triangle flow. The output therefore complements</w:t>
      </w:r>
    </w:p>
    <w:p>
      <w:r>
        <w:t>ligand-receptor intensity by making network self-consistency measurable.</w:t>
      </w:r>
    </w:p>
    <w:p>
      <w:pPr>
        <w:pStyle w:val="Heading3"/>
      </w:pPr>
      <w:r>
        <w:t>Simulations validate the Hodge component implementation</w:t>
      </w:r>
    </w:p>
    <w:p>
      <w:r>
        <w:t>We first tested whether the implementation recovers known graph-flow</w:t>
      </w:r>
    </w:p>
    <w:p>
      <w:r>
        <w:t>structure. The simulation panel included pure gradient, pure curl, pure</w:t>
      </w:r>
    </w:p>
    <w:p>
      <w:r>
        <w:t>harmonic and mixed-flow scenarios. The pure-flow controls recovered their expected dominant component (gradient_chain: gradient 1, curl 0, harmonic 1.82e-31; triangle_curl: gradient 0, curl 1, harmonic 0; harmonic_ring: gradient 0, curl 0, harmonic 1), and the mixed graph distributed energy across components (mixed: gradient 0.446, curl 0.286, harmonic 0.268).</w:t>
      </w:r>
    </w:p>
    <w:p>
      <w:r>
        <w:t>These controls validate the decomposition layer and define the interpretation</w:t>
      </w:r>
    </w:p>
    <w:p>
      <w:r>
        <w:t>of the reported ratios. They are mathematical checks, not biological evidence.</w:t>
      </w:r>
    </w:p>
    <w:p>
      <w:pPr>
        <w:pStyle w:val="Heading3"/>
      </w:pPr>
      <w:r>
        <w:t>Public tumor benchmarks show context-specific frustration architecture</w:t>
      </w:r>
    </w:p>
    <w:p>
      <w:r>
        <w:t>We next ran the same workflow across public tumor microenvironment datasets.</w:t>
      </w:r>
    </w:p>
    <w:p>
      <w:r>
        <w:t>The completed public benchmark set comprised gse72056_melanoma_scrna (scRNA-seq; 7 cell-type states; top source CAF/Fibroblast; total sheaf energy 36); gse154778_pdac_scrna (scRNA-seq; 7 cell-type states; top source Myeloid; total sheaf energy 36.1); gse176078_brca_scrna (scRNA-seq; 8 cell-type states; top source Tumor/Malignant; total sheaf energy 3.31); tenx_breast_visium (Visium spatial transcriptomics; 6 cell-type states; top source T/NK; total sheaf energy 29.8). The top sender contributing</w:t>
      </w:r>
    </w:p>
    <w:p>
      <w:r>
        <w:t>frustration differed across datasets: CAF/Fibroblast in melanoma, Myeloid in</w:t>
      </w:r>
    </w:p>
    <w:p>
      <w:r>
        <w:t>pancreatic cancer, Tumor/Malignant in breast cancer single-cell data and T/NK</w:t>
      </w:r>
    </w:p>
    <w:p>
      <w:r>
        <w:t>in the breast Visium demonstration. This pattern supports the method-level</w:t>
      </w:r>
    </w:p>
    <w:p>
      <w:r>
        <w:t>claim that communication frustration is context-specific, not the biological</w:t>
      </w:r>
    </w:p>
    <w:p>
      <w:r>
        <w:t>claim that a single cell type universally dominates tumor communication</w:t>
      </w:r>
    </w:p>
    <w:p>
      <w:r>
        <w:t>inconsistency.</w:t>
      </w:r>
    </w:p>
    <w:p>
      <w:pPr>
        <w:pStyle w:val="Heading3"/>
      </w:pPr>
      <w:r>
        <w:t>Claim-gated pancreatic cancer analysis retains Myeloid as the main signal</w:t>
      </w:r>
    </w:p>
    <w:p>
      <w:r>
        <w:t>GSE154778 pancreatic cancer was used as the detailed claim-gated case because</w:t>
      </w:r>
    </w:p>
    <w:p>
      <w:r>
        <w:t>it includes primary and metastatic lesions and a complete public processed</w:t>
      </w:r>
    </w:p>
    <w:p>
      <w:r>
        <w:t>matrix. The first-pass annotation is deliberately described as coarse</w:t>
      </w:r>
    </w:p>
    <w:p>
      <w:r>
        <w:t>marker-based annotation. We therefore required minimum lesion-level cell</w:t>
      </w:r>
    </w:p>
    <w:p>
      <w:r>
        <w:t>support, sample support, marker confidence and robustness evidence before any</w:t>
      </w:r>
    </w:p>
    <w:p>
      <w:r>
        <w:t>cell-type-level result could enter the main narrative.</w:t>
      </w:r>
    </w:p>
    <w:p>
      <w:r>
        <w:t>Myeloid passed the pancreatic-cancer main-claim gate with minimum lesion support of 497 cells and 6 samples, bootstrap top-source frequency 1, Primary and Metastatic frustration scores of 0.378 and 0.811, median marker-score margin 0.355, and low-margin fraction 0.0687. At sample level, Myeloid robustness was heterogeneous (Metastatic: top-source frequency 0.75 among 4 adequate samples; Primary: top-source frequency 0.429 among 7 adequate samples; all: top-source frequency 0.545 among 11 adequate samples).</w:t>
      </w:r>
    </w:p>
    <w:p>
      <w:r>
        <w:t>This supports a Myeloid frustration signal as a computational hypothesis, not</w:t>
      </w:r>
    </w:p>
    <w:p>
      <w:r>
        <w:t>as a confirmed mechanism. The same pre-specified gate downgraded CAF/Fibroblast, Endothelial, B/Plasma, Unknown, Tumor/Epithelial, T/NK to supplementary or QC-only interpretation; the smallest lesion support among downgraded categories was 1 cell. These</w:t>
      </w:r>
    </w:p>
    <w:p>
      <w:r>
        <w:t>downstream categories remain useful QC signals, but they are not used for</w:t>
      </w:r>
    </w:p>
    <w:p>
      <w:r>
        <w:t>lesion-specific mechanism claims.</w:t>
      </w:r>
    </w:p>
    <w:p>
      <w:pPr>
        <w:pStyle w:val="Heading3"/>
      </w:pPr>
      <w:r>
        <w:t>Comparator alignment shows complementarity rather than broad superiority</w:t>
      </w:r>
    </w:p>
    <w:p>
      <w:r>
        <w:t>SheafSignal was compared with conventional and external communication evidence</w:t>
      </w:r>
    </w:p>
    <w:p>
      <w:r>
        <w:t>after aligning outputs at the sender-receiver edge level. Aligned comparator evidence included LRProductBaseline across 4 datasets, Spearman -0.0496-0.72; LIANA across 3 datasets, Spearman 0.0743-0.699; MechanisticTargetPrior across 3 datasets, Spearman 0.176-0.643; NicheNet across 3 datasets, Spearman 0.184-0.75.</w:t>
      </w:r>
    </w:p>
    <w:p>
      <w:r>
        <w:t>The comparator panel shows that SheafSignal is not merely a relabelled</w:t>
      </w:r>
    </w:p>
    <w:p>
      <w:r>
        <w:t>ligand-receptor product score, while also showing that it remains connected to</w:t>
      </w:r>
    </w:p>
    <w:p>
      <w:r>
        <w:t>recognized communication evidence. The intended conclusion is complementarity:</w:t>
      </w:r>
    </w:p>
    <w:p>
      <w:r>
        <w:t>existing tools prioritize communication evidence, whereas SheafSignal asks</w:t>
      </w:r>
    </w:p>
    <w:p>
      <w:r>
        <w:t>whether those graph-level flows are consistent with pathway-state structure.</w:t>
      </w:r>
    </w:p>
    <w:p>
      <w:r>
        <w:t>The NicheNet-related comparator is intentionally bounded. It uses the official</w:t>
      </w:r>
    </w:p>
    <w:p>
      <w:r>
        <w:t>nichenetr scoring engine with a project-curated tumor-microenvironment prior</w:t>
      </w:r>
    </w:p>
    <w:p>
      <w:r>
        <w:t>matrix, not a full pretrained NicheNet network benchmark. For this reason, the</w:t>
      </w:r>
    </w:p>
    <w:p>
      <w:r>
        <w:t>manuscript does not claim broad superiority over NicheNet, CellChat,</w:t>
      </w:r>
    </w:p>
    <w:p>
      <w:r>
        <w:t>CellPhoneDB, LIANA or niche-DE.</w:t>
      </w:r>
    </w:p>
    <w:p>
      <w:pPr>
        <w:pStyle w:val="Heading3"/>
      </w:pPr>
      <w:r>
        <w:t>Spatial analysis localizes hotspots with spot-level boundaries</w:t>
      </w:r>
    </w:p>
    <w:p>
      <w:r>
        <w:t>The breast Visium case demonstrates how the framework extends to spatial</w:t>
      </w:r>
    </w:p>
    <w:p>
      <w:r>
        <w:t>profiles. SheafSignal was run on spot-level profiles and spatial neighborhoods,</w:t>
      </w:r>
    </w:p>
    <w:p>
      <w:r>
        <w:t>with k-neighbor sensitivity checks and spot-level QC. Because Visium spots can</w:t>
      </w:r>
    </w:p>
    <w:p>
      <w:r>
        <w:t>contain mixed cell states and the current labels are marker-dominant rather</w:t>
      </w:r>
    </w:p>
    <w:p>
      <w:r>
        <w:t>than histology-validated single-cell identities, these results are positioned</w:t>
      </w:r>
    </w:p>
    <w:p>
      <w:r>
        <w:t>as hotspot localization and workflow demonstration. They are not presented as</w:t>
      </w:r>
    </w:p>
    <w:p>
      <w:r>
        <w:t>histology-confirmed cell-type mechanisms.</w:t>
      </w:r>
    </w:p>
    <w:p>
      <w:pPr>
        <w:pStyle w:val="Heading2"/>
      </w:pPr>
      <w:r>
        <w:t>Discussion</w:t>
      </w:r>
    </w:p>
    <w:p>
      <w:r>
        <w:t>SheafSignal reframes cell-cell communication analysis around consistency</w:t>
      </w:r>
    </w:p>
    <w:p>
      <w:r>
        <w:t>rather than intensity alone. By representing communication as a sheaf-valued</w:t>
      </w:r>
    </w:p>
    <w:p>
      <w:r>
        <w:t>flow and decomposing that flow with Hodge theory, the method reports where</w:t>
      </w:r>
    </w:p>
    <w:p>
      <w:r>
        <w:t>communication edges are discordant with pathway-state transitions and whether</w:t>
      </w:r>
    </w:p>
    <w:p>
      <w:r>
        <w:t>the resulting network structure is dominated by directional, local</w:t>
      </w:r>
    </w:p>
    <w:p>
      <w:r>
        <w:t>feedback-like or global circulation-like components. This provides an</w:t>
      </w:r>
    </w:p>
    <w:p>
      <w:r>
        <w:t>interpretive layer that is absent from pairwise ligand-receptor ranking.</w:t>
      </w:r>
    </w:p>
    <w:p>
      <w:r>
        <w:t>The public benchmarks illustrate the practical value of this reframing.</w:t>
      </w:r>
    </w:p>
    <w:p>
      <w:r>
        <w:t>Different tumor datasets showed different dominant frustration sources,</w:t>
      </w:r>
    </w:p>
    <w:p>
      <w:r>
        <w:t>arguing against a universal cell-type explanation and in favor of dataset- and</w:t>
      </w:r>
    </w:p>
    <w:p>
      <w:r>
        <w:t>context-specific analysis. The pancreatic cancer case also illustrates why</w:t>
      </w:r>
    </w:p>
    <w:p>
      <w:r>
        <w:t>claim gating is necessary for high-impact computational biology: Myeloid</w:t>
      </w:r>
    </w:p>
    <w:p>
      <w:r>
        <w:t>passes the current evidence gate, but sparse stromal and lymphoid categories</w:t>
      </w:r>
    </w:p>
    <w:p>
      <w:r>
        <w:t>do not. The result is therefore a prioritized computational hypothesis for</w:t>
      </w:r>
    </w:p>
    <w:p>
      <w:r>
        <w:t>follow-up, not a clinical or mechanistic proof.</w:t>
      </w:r>
    </w:p>
    <w:p>
      <w:r>
        <w:t>The comparator analyses support the same boundary. Alignment with LIANA,</w:t>
      </w:r>
    </w:p>
    <w:p>
      <w:r>
        <w:t>ligand-receptor product scoring, a mechanistic target-prior baseline and</w:t>
      </w:r>
    </w:p>
    <w:p>
      <w:r>
        <w:t>bounded nichenetr-engine scoring indicates that SheafSignal remains connected</w:t>
      </w:r>
    </w:p>
    <w:p>
      <w:r>
        <w:t>to established communication evidence. Discordance is also expected, because</w:t>
      </w:r>
    </w:p>
    <w:p>
      <w:r>
        <w:t>SheafSignal measures inconsistency relative to pathway-state structure rather</w:t>
      </w:r>
    </w:p>
    <w:p>
      <w:r>
        <w:t>than communication strength alone. The manuscript therefore avoids broad</w:t>
      </w:r>
    </w:p>
    <w:p>
      <w:r>
        <w:t>superiority language and treats comparator evidence as a test of alignment,</w:t>
      </w:r>
    </w:p>
    <w:p>
      <w:r>
        <w:t>non-equivalence and interpretability.</w:t>
      </w:r>
    </w:p>
    <w:p>
      <w:r>
        <w:t>Several limitations are central to the current study. First, all disease</w:t>
      </w:r>
    </w:p>
    <w:p>
      <w:r>
        <w:t>examples are based on public data and should be interpreted as computational</w:t>
      </w:r>
    </w:p>
    <w:p>
      <w:r>
        <w:t>and hypothesis-generating. Second, some annotations are coarse, especially in</w:t>
      </w:r>
    </w:p>
    <w:p>
      <w:r>
        <w:t>GSE154778 and the Visium case, so cell-type claims require explicit QC and</w:t>
      </w:r>
    </w:p>
    <w:p>
      <w:r>
        <w:t>should not be overextended. Third, the current comparator set does not exhaust</w:t>
      </w:r>
    </w:p>
    <w:p>
      <w:r>
        <w:t>all CCC tools or all possible NicheNet resources. Fourth, SheafSignal itself</w:t>
      </w:r>
    </w:p>
    <w:p>
      <w:r>
        <w:t>does not provide evidence for clinical utility, treatment guidance or</w:t>
      </w:r>
    </w:p>
    <w:p>
      <w:r>
        <w:t>therapeutic recommendations.</w:t>
      </w:r>
    </w:p>
    <w:p>
      <w:r>
        <w:t>Future work should extend the framework to larger simulation stress tests,</w:t>
      </w:r>
    </w:p>
    <w:p>
      <w:r>
        <w:t>additional public and private validation cohorts, fuller external tool</w:t>
      </w:r>
    </w:p>
    <w:p>
      <w:r>
        <w:t>execution, and experimental perturbation of prioritized frustration sources.</w:t>
      </w:r>
    </w:p>
    <w:p>
      <w:r>
        <w:t>The present study establishes the mathematical formulation, open software,</w:t>
      </w:r>
    </w:p>
    <w:p>
      <w:r>
        <w:t>public-data benchmark suite and claim-safety framework needed for that next</w:t>
      </w:r>
    </w:p>
    <w:p>
      <w:r>
        <w:t>stage.</w:t>
      </w:r>
    </w:p>
    <w:p>
      <w:pPr>
        <w:pStyle w:val="Heading2"/>
      </w:pPr>
      <w:r>
        <w:t>Methods</w:t>
      </w:r>
    </w:p>
    <w:p>
      <w:pPr>
        <w:pStyle w:val="Heading3"/>
      </w:pPr>
      <w:r>
        <w:t>Inputs and preprocessing</w:t>
      </w:r>
    </w:p>
    <w:p>
      <w:r>
        <w:t>SheafSignal accepts expression data, cell annotations, ligand-receptor pairs</w:t>
      </w:r>
    </w:p>
    <w:p>
      <w:r>
        <w:t>and pathway or target-gene sets. Single-cell data are summarized to cell-type</w:t>
      </w:r>
    </w:p>
    <w:p>
      <w:r>
        <w:t>or sample-by-cell-type profiles for graph-level analysis after dataset-specific</w:t>
      </w:r>
    </w:p>
    <w:p>
      <w:r>
        <w:t>preparation. Spatial data are analyzed at spot-profile level with explicit</w:t>
      </w:r>
    </w:p>
    <w:p>
      <w:r>
        <w:t>spot-level interpretation boundaries. Public dataset accession, download,</w:t>
      </w:r>
    </w:p>
    <w:p>
      <w:r>
        <w:t>checksum and preparation metadata are tracked in the dataset manifest.</w:t>
      </w:r>
    </w:p>
    <w:p>
      <w:pPr>
        <w:pStyle w:val="Heading3"/>
      </w:pPr>
      <w:r>
        <w:t>Communication flow and sheaf energy</w:t>
      </w:r>
    </w:p>
    <w:p>
      <w:r>
        <w:t>For each directed sender-receiver pair, sender ligand expression and receiver</w:t>
      </w:r>
    </w:p>
    <w:p>
      <w:r>
        <w:t>receptor expression define communication evidence. Receiver pathway state is</w:t>
      </w:r>
    </w:p>
    <w:p>
      <w:r>
        <w:t>summarized from target-gene activity. Both quantities are standardized before</w:t>
      </w:r>
    </w:p>
    <w:p>
      <w:r>
        <w:t>their mismatch is calculated. This mismatch is reported as edge-level sheaf</w:t>
      </w:r>
    </w:p>
    <w:p>
      <w:r>
        <w:t>energy, with sender-level frustration scores computed from outgoing sheaf</w:t>
      </w:r>
    </w:p>
    <w:p>
      <w:r>
        <w:t>energy.</w:t>
      </w:r>
    </w:p>
    <w:p>
      <w:pPr>
        <w:pStyle w:val="Heading3"/>
      </w:pPr>
      <w:r>
        <w:t>Hodge decomposition</w:t>
      </w:r>
    </w:p>
    <w:p>
      <w:r>
        <w:t>The edge flow is decomposed into gradient, curl and harmonic components using</w:t>
      </w:r>
    </w:p>
    <w:p>
      <w:r>
        <w:t>graph Hodge decomposition. Gradient energy captures the portion explainable by</w:t>
      </w:r>
    </w:p>
    <w:p>
      <w:r>
        <w:t>node potentials, curl captures local feedback-like triangular structure, and</w:t>
      </w:r>
    </w:p>
    <w:p>
      <w:r>
        <w:t>harmonic energy captures residual global circulation-like structure. Component</w:t>
      </w:r>
    </w:p>
    <w:p>
      <w:r>
        <w:t>ratios are reported as fractions of total flow energy.</w:t>
      </w:r>
    </w:p>
    <w:p>
      <w:pPr>
        <w:pStyle w:val="Heading3"/>
      </w:pPr>
      <w:r>
        <w:t>Claim gating</w:t>
      </w:r>
    </w:p>
    <w:p>
      <w:r>
        <w:t>The GSE154778 pancreatic cancer analysis used a pre-specified evidence-tier</w:t>
      </w:r>
    </w:p>
    <w:p>
      <w:r>
        <w:t>gate. A category was eligible for main-text interpretation only when it had</w:t>
      </w:r>
    </w:p>
    <w:p>
      <w:r>
        <w:t>adequate cell support and sample support within lesion strata, acceptable</w:t>
      </w:r>
    </w:p>
    <w:p>
      <w:r>
        <w:t>marker confidence and robustness evidence. Sparse or low-confidence categories</w:t>
      </w:r>
    </w:p>
    <w:p>
      <w:r>
        <w:t>were downgraded to supplementary QC interpretation before biological</w:t>
      </w:r>
    </w:p>
    <w:p>
      <w:r>
        <w:t>discussion.</w:t>
      </w:r>
    </w:p>
    <w:p>
      <w:pPr>
        <w:pStyle w:val="Heading3"/>
      </w:pPr>
      <w:r>
        <w:t>Comparator analyses</w:t>
      </w:r>
    </w:p>
    <w:p>
      <w:r>
        <w:t>Comparator outputs were aligned at the sender-receiver edge level. The current</w:t>
      </w:r>
    </w:p>
    <w:p>
      <w:r>
        <w:t>panel includes a ligand-receptor product baseline, LIANA imports,</w:t>
      </w:r>
    </w:p>
    <w:p>
      <w:r>
        <w:t>MechanisticTargetPrior scoring and bounded nichenetr-engine scoring with a</w:t>
      </w:r>
    </w:p>
    <w:p>
      <w:r>
        <w:t>project-curated tumor-microenvironment prior matrix. The comparison tests</w:t>
      </w:r>
    </w:p>
    <w:p>
      <w:r>
        <w:t>alignment and complementarity, not broad tool superiority.</w:t>
      </w:r>
    </w:p>
    <w:p>
      <w:pPr>
        <w:pStyle w:val="Heading3"/>
      </w:pPr>
      <w:r>
        <w:t>Reproducibility and availability</w:t>
      </w:r>
    </w:p>
    <w:p>
      <w:r>
        <w:t>All source code, tests, dataset manifests, figure manifests, release manifests,</w:t>
      </w:r>
    </w:p>
    <w:p>
      <w:r>
        <w:t>claim-safety audits and manuscript-supporting tables are generated within the</w:t>
      </w:r>
    </w:p>
    <w:p>
      <w:r>
        <w:t>repository. Large processed objects are prepared for Zenodo deposition, while</w:t>
      </w:r>
    </w:p>
    <w:p>
      <w:r>
        <w:t>code and small result tables are prepared for GitHub release.</w:t>
      </w:r>
    </w:p>
    <w:p>
      <w:pPr>
        <w:pStyle w:val="Heading2"/>
      </w:pPr>
      <w:r>
        <w:t>Data Availability</w:t>
      </w:r>
    </w:p>
    <w:p>
      <w:r>
        <w:t>Raw public data remain available from the original GEO and 10x Genomics</w:t>
      </w:r>
    </w:p>
    <w:p>
      <w:r>
        <w:t>sources listed in `metadata/datasets.tsv`. Frozen processed objects are</w:t>
      </w:r>
    </w:p>
    <w:p>
      <w:r>
        <w:t>prepared for Zenodo deposition. The Zenodo DOI must be inserted after the</w:t>
      </w:r>
    </w:p>
    <w:p>
      <w:r>
        <w:t>deposition is published.</w:t>
      </w:r>
    </w:p>
    <w:p>
      <w:pPr>
        <w:pStyle w:val="Heading2"/>
      </w:pPr>
      <w:r>
        <w:t>Code Availability</w:t>
      </w:r>
    </w:p>
    <w:p>
      <w:r>
        <w:t>Source code, tests, benchmark scripts and small result tables are prepared for</w:t>
      </w:r>
    </w:p>
    <w:p>
      <w:r>
        <w:t>public GitHub release. The final repository URL must be inserted after public</w:t>
      </w:r>
    </w:p>
    <w:p>
      <w:r>
        <w:t>release.</w:t>
      </w:r>
    </w:p>
    <w:p>
      <w:pPr>
        <w:pStyle w:val="Heading2"/>
      </w:pPr>
      <w:r>
        <w:t>Acknowledgements</w:t>
      </w:r>
    </w:p>
    <w:p>
      <w:r>
        <w:t>TBD.</w:t>
      </w:r>
    </w:p>
    <w:p>
      <w:pPr>
        <w:pStyle w:val="Heading2"/>
      </w:pPr>
      <w:r>
        <w:t>Author Contributions</w:t>
      </w:r>
    </w:p>
    <w:p>
      <w:r>
        <w:t>TBD.</w:t>
      </w:r>
    </w:p>
    <w:p>
      <w:pPr>
        <w:pStyle w:val="Heading2"/>
      </w:pPr>
      <w:r>
        <w:t>Competing Interests</w:t>
      </w:r>
    </w:p>
    <w:p>
      <w:r>
        <w:t>TBD.</w:t>
      </w:r>
    </w:p>
    <w:p>
      <w:pPr>
        <w:pStyle w:val="Heading2"/>
      </w:pPr>
      <w:r>
        <w:t>Boundary Statement</w:t>
      </w:r>
    </w:p>
    <w:p>
      <w:r>
        <w:t>This is a computational methods manuscript. It does not claim clinical</w:t>
      </w:r>
    </w:p>
    <w:p>
      <w:r>
        <w:t>utility, treatment guidance, treatment-response prediction, guaranteed journal</w:t>
      </w:r>
    </w:p>
    <w:p>
      <w:r>
        <w:t>acceptance or broad superiority over established cell-cell communication</w:t>
      </w:r>
    </w:p>
    <w:p>
      <w:r>
        <w:t>tools.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