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Supplementary Information Draft</w:t>
      </w:r>
    </w:p>
    <w:p>
      <w:pPr>
        <w:pStyle w:val="Heading2"/>
      </w:pPr>
      <w:r>
        <w:t>Supplementary Methods</w:t>
      </w:r>
    </w:p>
    <w:p>
      <w:pPr>
        <w:pStyle w:val="Heading3"/>
      </w:pPr>
      <w:r>
        <w:t>Dataset Preparation</w:t>
      </w:r>
    </w:p>
    <w:p>
      <w:r>
        <w:t>Public scRNA-seq and spatial transcriptomics datasets are listed in</w:t>
      </w:r>
    </w:p>
    <w:p>
      <w:r>
        <w:t>`metadata/datasets.tsv`. Raw public datasets are downloaded from their original</w:t>
      </w:r>
    </w:p>
    <w:p>
      <w:r>
        <w:t>repositories and are not redistributed through GitHub. Frozen processed</w:t>
      </w:r>
    </w:p>
    <w:p>
      <w:r>
        <w:t>benchmark objects are prepared for Zenodo deposition.</w:t>
      </w:r>
    </w:p>
    <w:p>
      <w:pPr>
        <w:pStyle w:val="Heading3"/>
      </w:pPr>
      <w:r>
        <w:t>Annotation QC</w:t>
      </w:r>
    </w:p>
    <w:p>
      <w:r>
        <w:t>GSE154778 uses coarse marker-based annotation for the first-pass benchmark.</w:t>
      </w:r>
    </w:p>
    <w:p>
      <w:r>
        <w:t>Marker heatmaps, cell-type counts, annotation-confidence distributions and</w:t>
      </w:r>
    </w:p>
    <w:p>
      <w:r>
        <w:t>frustration-confidence overlays are generated under</w:t>
      </w:r>
    </w:p>
    <w:p>
      <w:r>
        <w:t>`benchmarks/results/gse154778_pdac_scrna/qc/`.</w:t>
      </w:r>
    </w:p>
    <w:p>
      <w:pPr>
        <w:pStyle w:val="Heading3"/>
      </w:pPr>
      <w:r>
        <w:t>Claim Gating</w:t>
      </w:r>
    </w:p>
    <w:p>
      <w:r>
        <w:t>Cell-type-level biological claims require minimum cell and sample support.</w:t>
      </w:r>
    </w:p>
    <w:p>
      <w:r>
        <w:t>Underpowered categories are demoted to supplement-only or QC-warning-only</w:t>
      </w:r>
    </w:p>
    <w:p>
      <w:r>
        <w:t>interpretation. Myeloid is currently the only GSE154778 main-text candidate.</w:t>
      </w:r>
    </w:p>
    <w:p>
      <w:pPr>
        <w:pStyle w:val="Heading3"/>
      </w:pPr>
      <w:r>
        <w:t>Comparator Analyses</w:t>
      </w:r>
    </w:p>
    <w:p>
      <w:r>
        <w:t>Comparator outputs include LRProductBaseline, full LIANA imports,</w:t>
      </w:r>
    </w:p>
    <w:p>
      <w:r>
        <w:t>MechanisticTargetPrior and bounded nichenetr-engine scoring. CellChat,</w:t>
      </w:r>
    </w:p>
    <w:p>
      <w:r>
        <w:t>CellPhoneDB and niche-DE remain pending and must not be represented as</w:t>
      </w:r>
    </w:p>
    <w:p>
      <w:r>
        <w:t>completed benchmarks.</w:t>
      </w:r>
    </w:p>
    <w:p>
      <w:pPr>
        <w:pStyle w:val="Heading3"/>
      </w:pPr>
      <w:r>
        <w:t>Spatial Sensitivity</w:t>
      </w:r>
    </w:p>
    <w:p>
      <w:r>
        <w:t>The Visium spatial case includes k-neighbor sensitivity and hotspot QC. These</w:t>
      </w:r>
    </w:p>
    <w:p>
      <w:r>
        <w:t>analyses test spatial robustness of hotspot ranking, not histology-confirmed</w:t>
      </w:r>
    </w:p>
    <w:p>
      <w:r>
        <w:t>cell-type mechanisms.</w:t>
      </w:r>
    </w:p>
    <w:p>
      <w:pPr>
        <w:pStyle w:val="Heading2"/>
      </w:pPr>
      <w:r>
        <w:t>Supplementary Tables</w:t>
      </w:r>
    </w:p>
    <w:p>
      <w:pPr>
        <w:pStyle w:val="ListBullet"/>
      </w:pPr>
      <w:r>
        <w:t>`manuscript/SCI20_50_SUBMISSION_GATES.tsv`</w:t>
      </w:r>
    </w:p>
    <w:p>
      <w:pPr>
        <w:pStyle w:val="ListBullet"/>
      </w:pPr>
      <w:r>
        <w:t>`manuscript/reviewer_objection_response_table.tsv`</w:t>
      </w:r>
    </w:p>
    <w:p>
      <w:pPr>
        <w:pStyle w:val="ListBullet"/>
      </w:pPr>
      <w:r>
        <w:t>`manuscript/FINAL_SUBMISSION_BLOCKERS.tsv`</w:t>
      </w:r>
    </w:p>
    <w:p>
      <w:pPr>
        <w:pStyle w:val="ListBullet"/>
      </w:pPr>
      <w:r>
        <w:t>`manuscript/nature_methods_package/05_claim_evidence_map.tsv`</w:t>
      </w:r>
    </w:p>
    <w:p>
      <w:pPr>
        <w:pStyle w:val="ListBullet"/>
      </w:pPr>
      <w:r>
        <w:t>`manuscript/nature_methods_package/06_figure_plan.tsv`</w:t>
      </w:r>
    </w:p>
    <w:p>
      <w:pPr>
        <w:pStyle w:val="ListBullet"/>
      </w:pPr>
      <w:r>
        <w:t>`manuscript/submission_metadata/SUBMISSION_SYSTEM_METADATA_CHECKLIST.tsv`</w:t>
      </w:r>
    </w:p>
    <w:p>
      <w:pPr>
        <w:pStyle w:val="ListBullet"/>
      </w:pPr>
      <w:r>
        <w:t>`release/zenodo_upload_manifest.tsv`</w:t>
      </w:r>
    </w:p>
    <w:p>
      <w:pPr>
        <w:pStyle w:val="ListBullet"/>
      </w:pPr>
      <w:r>
        <w:t>`release/archive_manifest.tsv`</w:t>
      </w:r>
    </w:p>
    <w:p>
      <w:pPr>
        <w:pStyle w:val="Heading2"/>
      </w:pPr>
      <w:r>
        <w:t>Reproducibility</w:t>
      </w:r>
    </w:p>
    <w:p>
      <w:r>
        <w:t>Before submission, run:</w:t>
      </w:r>
    </w:p>
    <w:p>
      <w:r>
        <w:rPr>
          <w:rFonts w:ascii="Courier New" w:hAnsi="Courier New"/>
          <w:sz w:val="18"/>
        </w:rPr>
        <w:t>python -m pytest</w:t>
        <w:br/>
        <w:t>python scripts/release_audit.py</w:t>
        <w:br/>
        <w:t>python scripts/check_final_submission_blockers.py</w:t>
      </w:r>
    </w:p>
    <w:p>
      <w:r>
        <w:t>The final command must not report `NO_GO` at journal submission.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